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color w:val="auto"/>
          <w:sz w:val="52"/>
          <w:szCs w:val="52"/>
          <w:highlight w:val="none"/>
          <w:lang w:val="zh-CN" w:eastAsia="zh-CN"/>
        </w:rPr>
      </w:pPr>
    </w:p>
    <w:p>
      <w:pPr>
        <w:bidi w:val="0"/>
        <w:jc w:val="center"/>
        <w:rPr>
          <w:rFonts w:hint="eastAsia" w:ascii="宋体" w:hAnsi="宋体" w:eastAsia="宋体" w:cs="宋体"/>
          <w:b/>
          <w:bCs/>
          <w:color w:val="auto"/>
          <w:sz w:val="52"/>
          <w:szCs w:val="52"/>
          <w:highlight w:val="none"/>
          <w:lang w:val="zh-CN" w:eastAsia="zh-CN"/>
        </w:rPr>
      </w:pPr>
      <w:r>
        <w:rPr>
          <w:rFonts w:hint="eastAsia" w:ascii="宋体" w:hAnsi="宋体" w:eastAsia="宋体" w:cs="宋体"/>
          <w:b/>
          <w:bCs/>
          <w:color w:val="auto"/>
          <w:sz w:val="52"/>
          <w:szCs w:val="52"/>
          <w:highlight w:val="none"/>
          <w:lang w:val="zh-CN" w:eastAsia="zh-CN"/>
        </w:rPr>
        <w:t>广东省政府采购</w:t>
      </w: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bidi w:val="0"/>
        <w:jc w:val="center"/>
        <w:rPr>
          <w:rFonts w:hint="eastAsia" w:ascii="宋体" w:hAnsi="宋体" w:eastAsia="宋体" w:cs="宋体"/>
          <w:b/>
          <w:bCs/>
          <w:color w:val="auto"/>
          <w:sz w:val="44"/>
          <w:szCs w:val="44"/>
          <w:highlight w:val="none"/>
          <w:lang w:val="zh-CN" w:eastAsia="zh-CN"/>
        </w:rPr>
      </w:pPr>
      <w:r>
        <w:rPr>
          <w:rFonts w:hint="eastAsia" w:ascii="宋体" w:hAnsi="宋体" w:eastAsia="宋体" w:cs="宋体"/>
          <w:b/>
          <w:bCs/>
          <w:color w:val="auto"/>
          <w:sz w:val="44"/>
          <w:szCs w:val="44"/>
          <w:highlight w:val="none"/>
          <w:lang w:val="zh-CN" w:eastAsia="zh-CN"/>
        </w:rPr>
        <w:t>竞争性磋商文件</w:t>
      </w:r>
    </w:p>
    <w:p>
      <w:pPr>
        <w:spacing w:line="241" w:lineRule="auto"/>
        <w:rPr>
          <w:rFonts w:hint="eastAsia" w:ascii="宋体" w:hAnsi="宋体" w:eastAsia="宋体" w:cs="宋体"/>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1687" w:firstLineChars="600"/>
        <w:jc w:val="both"/>
        <w:textAlignment w:val="baseline"/>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采购项目编号：</w:t>
      </w:r>
      <w:r>
        <w:rPr>
          <w:rFonts w:hint="eastAsia" w:ascii="宋体" w:hAnsi="宋体" w:eastAsia="宋体" w:cs="宋体"/>
          <w:b/>
          <w:bCs/>
          <w:color w:val="auto"/>
          <w:sz w:val="28"/>
          <w:szCs w:val="28"/>
          <w:highlight w:val="none"/>
          <w:lang w:val="en-US" w:eastAsia="zh-CN"/>
        </w:rPr>
        <w:t>DGJY-2022112779</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项目名称：</w:t>
      </w:r>
      <w:r>
        <w:rPr>
          <w:rFonts w:hint="eastAsia" w:ascii="宋体" w:hAnsi="宋体" w:eastAsia="宋体" w:cs="宋体"/>
          <w:b/>
          <w:bCs/>
          <w:color w:val="auto"/>
          <w:sz w:val="28"/>
          <w:szCs w:val="28"/>
          <w:highlight w:val="none"/>
          <w:lang w:eastAsia="zh-CN"/>
        </w:rPr>
        <w:t>石龙坑石河西十七巷新建拆迁安置房项目-新增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92" w:firstLineChars="1100"/>
        <w:jc w:val="both"/>
        <w:textAlignment w:val="baseline"/>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400kVA箱变电站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1687" w:firstLineChars="600"/>
        <w:jc w:val="both"/>
        <w:textAlignment w:val="baseline"/>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eastAsia="宋体" w:cs="宋体"/>
          <w:b/>
          <w:bCs/>
          <w:color w:val="auto"/>
          <w:sz w:val="28"/>
          <w:szCs w:val="28"/>
          <w:highlight w:val="none"/>
          <w:lang w:eastAsia="zh-CN"/>
        </w:rPr>
        <w:t>东莞市寮步镇石龙坑股份经济联合社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1687" w:firstLineChars="600"/>
        <w:jc w:val="both"/>
        <w:textAlignment w:val="baseline"/>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采购代理机构：</w:t>
      </w:r>
      <w:r>
        <w:rPr>
          <w:rFonts w:hint="eastAsia" w:ascii="宋体" w:hAnsi="宋体" w:eastAsia="宋体" w:cs="宋体"/>
          <w:b/>
          <w:bCs/>
          <w:color w:val="auto"/>
          <w:sz w:val="28"/>
          <w:szCs w:val="28"/>
          <w:highlight w:val="none"/>
          <w:lang w:eastAsia="zh-CN"/>
        </w:rPr>
        <w:t>东莞市金燕工程管理有限公司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sdt>
      <w:sdtPr>
        <w:rPr>
          <w:rFonts w:hint="eastAsia" w:ascii="宋体" w:hAnsi="宋体" w:eastAsia="宋体" w:cs="宋体"/>
          <w:b/>
          <w:bCs/>
          <w:snapToGrid w:val="0"/>
          <w:color w:val="auto"/>
          <w:kern w:val="0"/>
          <w:sz w:val="32"/>
          <w:szCs w:val="32"/>
          <w:highlight w:val="none"/>
        </w:rPr>
        <w:id w:val="147476279"/>
        <w15:color w:val="DBDBDB"/>
        <w:docPartObj>
          <w:docPartGallery w:val="Table of Contents"/>
          <w:docPartUnique/>
        </w:docPartObj>
      </w:sdtPr>
      <w:sdtEndPr>
        <w:rPr>
          <w:rFonts w:hint="eastAsia" w:ascii="宋体" w:hAnsi="宋体" w:eastAsia="宋体" w:cs="宋体"/>
          <w:b/>
          <w:bCs/>
          <w:snapToGrid w:val="0"/>
          <w:color w:val="auto"/>
          <w:kern w:val="0"/>
          <w:sz w:val="21"/>
          <w:szCs w:val="21"/>
          <w:highlight w:val="none"/>
          <w:lang w:eastAsia="zh-CN"/>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目录</w:t>
          </w:r>
        </w:p>
        <w:p>
          <w:pPr>
            <w:pStyle w:val="18"/>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TOC \o "1-3" \h \u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_Toc9133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szCs w:val="28"/>
              <w:highlight w:val="none"/>
            </w:rPr>
            <w:t>第一章磋商邀请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8"/>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_Toc7538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szCs w:val="28"/>
              <w:highlight w:val="none"/>
            </w:rPr>
            <w:t>第二章采购需求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8"/>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_Toc9900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szCs w:val="28"/>
              <w:highlight w:val="none"/>
            </w:rPr>
            <w:t>第三章供应商须知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_Toc9900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_Toc15567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一、名词解释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_Toc15567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_Toc19024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二、须知前附表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_Toc2950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三、说明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_Toc3531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四、磋商文件的澄清和修改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_Toc3531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_Toc6817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五、响应要求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_Toc6817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_Toc18786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六、磋商、评审和结果确定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_Toc4339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七、询问、质疑与投诉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_Toc4339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_Toc29652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八、合同签订和履行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8"/>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_Toc25901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szCs w:val="28"/>
              <w:highlight w:val="none"/>
            </w:rPr>
            <w:t>第四章评审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_Toc25901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_Toc26790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一、评审要求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_Toc26790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_Toc11739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二、政府采购政策落实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_Toc11739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_Toc13514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三、评审程序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8"/>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_Toc17459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szCs w:val="28"/>
              <w:highlight w:val="none"/>
            </w:rPr>
            <w:t>第五章合同文本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_Toc17459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8"/>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_Toc27895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szCs w:val="28"/>
              <w:highlight w:val="none"/>
            </w:rPr>
            <w:t>第六章响应文件格式与要求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_Toc27895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_Toc24175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格式一：</w:t>
          </w:r>
          <w:r>
            <w:rPr>
              <w:rFonts w:hint="eastAsia" w:ascii="宋体" w:hAnsi="宋体" w:eastAsia="宋体" w:cs="宋体"/>
              <w:color w:val="auto"/>
              <w:highlight w:val="none"/>
              <w:lang w:val="en-US" w:eastAsia="zh-CN"/>
            </w:rPr>
            <w:t>索引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_Toc1323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：响应承诺函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_Toc21470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：首轮报价表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_Toc21470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_Toc28683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w:t>
          </w:r>
          <w:r>
            <w:rPr>
              <w:rFonts w:hint="eastAsia" w:ascii="宋体" w:hAnsi="宋体" w:eastAsia="宋体" w:cs="宋体"/>
              <w:color w:val="auto"/>
              <w:highlight w:val="none"/>
              <w:lang w:val="zh-CN" w:eastAsia="zh-CN"/>
            </w:rPr>
            <w:t>分项报价表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_Toc6540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：法定代表人证明书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_Toc12399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十</w:t>
          </w:r>
          <w:r>
            <w:rPr>
              <w:rFonts w:hint="eastAsia" w:ascii="宋体" w:hAnsi="宋体" w:eastAsia="宋体" w:cs="宋体"/>
              <w:color w:val="auto"/>
              <w:highlight w:val="none"/>
            </w:rPr>
            <w:t>：法定代表人授权书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_Toc2463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十一</w:t>
          </w:r>
          <w:r>
            <w:rPr>
              <w:rFonts w:hint="eastAsia" w:ascii="宋体" w:hAnsi="宋体" w:eastAsia="宋体" w:cs="宋体"/>
              <w:color w:val="auto"/>
              <w:highlight w:val="none"/>
            </w:rPr>
            <w:t>：响应保证金汇入情况说明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_Toc3857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十二</w:t>
          </w:r>
          <w:r>
            <w:rPr>
              <w:rFonts w:hint="eastAsia" w:ascii="宋体" w:hAnsi="宋体" w:eastAsia="宋体" w:cs="宋体"/>
              <w:color w:val="auto"/>
              <w:highlight w:val="none"/>
            </w:rPr>
            <w:t>：提供具有独立承担民事责任的能力的证明材料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_Toc6094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十三</w:t>
          </w:r>
          <w:r>
            <w:rPr>
              <w:rFonts w:hint="eastAsia" w:ascii="宋体" w:hAnsi="宋体" w:eastAsia="宋体" w:cs="宋体"/>
              <w:color w:val="auto"/>
              <w:highlight w:val="none"/>
            </w:rPr>
            <w:t>：资格性审查要求的其他资质证明文件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_Toc6094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_Toc9709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：联合体共同响应协议书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_Toc18912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：响应供应商业绩情况表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_Toc18912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_Toc24971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：技术和服务要求响应表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_Toc24971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_Toc30800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：商务条件响应表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_Toc30800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_Toc17811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：履约进度计划表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_Toc13414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：各类证明材料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_Toc13414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53</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_Toc26673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十：代理服务费缴纳承诺函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_Toc26673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54</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_Toc32380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格式二十</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：需要采购人提供的附加条件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55</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\l _Toc18554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rPr>
            <w:t>格式二十</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：询问函、质疑函、投诉书格式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_Toc18554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fldChar w:fldCharType="end"/>
          </w:r>
        </w:p>
      </w:sdtContent>
    </w:sdt>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bidi w:val="0"/>
        <w:outlineLvl w:val="0"/>
        <w:rPr>
          <w:rFonts w:hint="eastAsia" w:ascii="宋体" w:hAnsi="宋体" w:eastAsia="宋体" w:cs="宋体"/>
          <w:color w:val="auto"/>
          <w:sz w:val="28"/>
          <w:szCs w:val="28"/>
          <w:highlight w:val="none"/>
        </w:rPr>
      </w:pPr>
      <w:bookmarkStart w:id="0" w:name="_Toc9133"/>
      <w:r>
        <w:rPr>
          <w:rFonts w:hint="eastAsia" w:ascii="宋体" w:hAnsi="宋体" w:eastAsia="宋体" w:cs="宋体"/>
          <w:color w:val="auto"/>
          <w:sz w:val="28"/>
          <w:szCs w:val="28"/>
          <w:highlight w:val="none"/>
        </w:rPr>
        <w:t>第一章磋商邀请</w:t>
      </w:r>
      <w:bookmarkEnd w:id="0"/>
    </w:p>
    <w:p>
      <w:pPr>
        <w:spacing w:line="318" w:lineRule="auto"/>
        <w:rPr>
          <w:rFonts w:hint="eastAsia" w:ascii="宋体" w:hAnsi="宋体" w:eastAsia="宋体" w:cs="宋体"/>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东莞市金燕工程管理有限公司</w:t>
      </w:r>
      <w:r>
        <w:rPr>
          <w:rFonts w:hint="eastAsia" w:ascii="宋体" w:hAnsi="宋体" w:eastAsia="宋体" w:cs="宋体"/>
          <w:color w:val="auto"/>
          <w:highlight w:val="none"/>
        </w:rPr>
        <w:t>受</w:t>
      </w:r>
      <w:r>
        <w:rPr>
          <w:rFonts w:hint="eastAsia" w:ascii="宋体" w:hAnsi="宋体" w:eastAsia="宋体" w:cs="宋体"/>
          <w:color w:val="auto"/>
          <w:highlight w:val="none"/>
          <w:lang w:eastAsia="zh-CN"/>
        </w:rPr>
        <w:t>东莞市寮步镇石龙坑股份经济联合社</w:t>
      </w:r>
      <w:r>
        <w:rPr>
          <w:rFonts w:hint="eastAsia" w:ascii="宋体" w:hAnsi="宋体" w:eastAsia="宋体" w:cs="宋体"/>
          <w:color w:val="auto"/>
          <w:highlight w:val="none"/>
        </w:rPr>
        <w:t>的委托，采用竞争性磋商方式组织采购</w:t>
      </w:r>
      <w:r>
        <w:rPr>
          <w:rFonts w:hint="eastAsia" w:ascii="宋体" w:hAnsi="宋体" w:eastAsia="宋体" w:cs="宋体"/>
          <w:color w:val="auto"/>
          <w:highlight w:val="none"/>
          <w:lang w:eastAsia="zh-CN"/>
        </w:rPr>
        <w:t>石龙坑石河西十七巷新建拆迁安置房项目-新增400kVA箱变电站</w:t>
      </w:r>
      <w:r>
        <w:rPr>
          <w:rFonts w:hint="eastAsia" w:ascii="宋体" w:hAnsi="宋体" w:eastAsia="宋体" w:cs="宋体"/>
          <w:color w:val="auto"/>
          <w:highlight w:val="none"/>
        </w:rPr>
        <w:t>。欢迎符合资格条件的国内供应商参加投标。</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1" w:name="_Toc27522"/>
      <w:bookmarkStart w:id="2" w:name="_Toc2717"/>
      <w:r>
        <w:rPr>
          <w:rFonts w:hint="eastAsia" w:ascii="宋体" w:hAnsi="宋体" w:eastAsia="宋体" w:cs="宋体"/>
          <w:color w:val="auto"/>
          <w:highlight w:val="none"/>
        </w:rPr>
        <w:t>一.项目概述</w:t>
      </w:r>
      <w:bookmarkEnd w:id="1"/>
      <w:bookmarkEnd w:id="2"/>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3" w:name="_Toc30469"/>
      <w:bookmarkStart w:id="4" w:name="_Toc26317"/>
      <w:r>
        <w:rPr>
          <w:rFonts w:hint="eastAsia" w:ascii="宋体" w:hAnsi="宋体" w:eastAsia="宋体" w:cs="宋体"/>
          <w:color w:val="auto"/>
          <w:highlight w:val="none"/>
        </w:rPr>
        <w:t>1.名称与编号</w:t>
      </w:r>
      <w:bookmarkEnd w:id="3"/>
      <w:bookmarkEnd w:id="4"/>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0" w:firstLineChars="4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bookmarkStart w:id="256" w:name="_GoBack"/>
      <w:bookmarkEnd w:id="256"/>
      <w:r>
        <w:rPr>
          <w:rFonts w:hint="eastAsia" w:ascii="宋体" w:hAnsi="宋体" w:eastAsia="宋体" w:cs="宋体"/>
          <w:color w:val="auto"/>
          <w:highlight w:val="none"/>
          <w:lang w:eastAsia="zh-CN"/>
        </w:rPr>
        <w:t>石龙坑石河西十七巷新建拆迁安置房项目-新增400kVA箱变电站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0" w:firstLineChars="4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采购项目编号：</w:t>
      </w:r>
      <w:r>
        <w:rPr>
          <w:rFonts w:hint="eastAsia" w:ascii="宋体" w:hAnsi="宋体" w:eastAsia="宋体" w:cs="宋体"/>
          <w:color w:val="auto"/>
          <w:highlight w:val="none"/>
          <w:lang w:eastAsia="zh-CN"/>
        </w:rPr>
        <w:t>DGJY-2022112779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0" w:firstLineChars="4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采购方式：竞争性磋商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0" w:firstLineChars="4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预算金额：</w:t>
      </w:r>
      <w:r>
        <w:rPr>
          <w:rFonts w:hint="eastAsia" w:ascii="宋体" w:hAnsi="宋体" w:eastAsia="宋体" w:cs="宋体"/>
          <w:color w:val="auto"/>
          <w:highlight w:val="none"/>
          <w:lang w:eastAsia="zh-CN"/>
        </w:rPr>
        <w:t>424039.65</w:t>
      </w:r>
      <w:r>
        <w:rPr>
          <w:rFonts w:hint="eastAsia" w:ascii="宋体" w:hAnsi="宋体" w:eastAsia="宋体" w:cs="宋体"/>
          <w:color w:val="auto"/>
          <w:highlight w:val="none"/>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5" w:name="_Toc29276"/>
      <w:bookmarkStart w:id="6" w:name="_Toc21844"/>
      <w:r>
        <w:rPr>
          <w:rFonts w:hint="eastAsia" w:ascii="宋体" w:hAnsi="宋体" w:eastAsia="宋体" w:cs="宋体"/>
          <w:color w:val="auto"/>
          <w:highlight w:val="none"/>
        </w:rPr>
        <w:t>2.项目内容及需求情况（采购项目技术规格、参数及要求）</w:t>
      </w:r>
      <w:bookmarkEnd w:id="5"/>
      <w:bookmarkEnd w:id="6"/>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0" w:firstLineChars="4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lang w:eastAsia="zh-CN"/>
        </w:rPr>
        <w:t>石龙坑石河西十七巷新建拆迁安置房项目-新增400kVA箱变电站</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0" w:firstLineChars="4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采购包预算金额：</w:t>
      </w:r>
      <w:r>
        <w:rPr>
          <w:rFonts w:hint="eastAsia" w:ascii="宋体" w:hAnsi="宋体" w:eastAsia="宋体" w:cs="宋体"/>
          <w:color w:val="auto"/>
          <w:highlight w:val="none"/>
          <w:lang w:eastAsia="zh-CN"/>
        </w:rPr>
        <w:t>424039.65</w:t>
      </w:r>
      <w:r>
        <w:rPr>
          <w:rFonts w:hint="eastAsia" w:ascii="宋体" w:hAnsi="宋体" w:eastAsia="宋体" w:cs="宋体"/>
          <w:color w:val="auto"/>
          <w:highlight w:val="none"/>
        </w:rPr>
        <w:t>元</w:t>
      </w:r>
    </w:p>
    <w:p>
      <w:pPr>
        <w:spacing w:line="168" w:lineRule="exact"/>
        <w:rPr>
          <w:rFonts w:hint="eastAsia" w:ascii="宋体" w:hAnsi="宋体" w:eastAsia="宋体" w:cs="宋体"/>
          <w:color w:val="auto"/>
          <w:highlight w:val="none"/>
        </w:rPr>
      </w:pPr>
    </w:p>
    <w:tbl>
      <w:tblPr>
        <w:tblStyle w:val="24"/>
        <w:tblW w:w="9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1438"/>
        <w:gridCol w:w="2103"/>
        <w:gridCol w:w="1475"/>
        <w:gridCol w:w="248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617" w:type="dxa"/>
            <w:shd w:val="clear" w:color="auto" w:fill="F5F5F5"/>
            <w:vAlign w:val="center"/>
          </w:tcPr>
          <w:p>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序号</w:t>
            </w:r>
          </w:p>
        </w:tc>
        <w:tc>
          <w:tcPr>
            <w:tcW w:w="1438" w:type="dxa"/>
            <w:tcBorders>
              <w:right w:val="single" w:color="auto" w:sz="4" w:space="0"/>
            </w:tcBorders>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品目名称</w:t>
            </w:r>
          </w:p>
        </w:tc>
        <w:tc>
          <w:tcPr>
            <w:tcW w:w="2103" w:type="dxa"/>
            <w:tcBorders>
              <w:left w:val="single" w:color="auto" w:sz="4" w:space="0"/>
            </w:tcBorders>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采购标的</w:t>
            </w:r>
          </w:p>
        </w:tc>
        <w:tc>
          <w:tcPr>
            <w:tcW w:w="1475" w:type="dxa"/>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数量（单位）</w:t>
            </w:r>
          </w:p>
        </w:tc>
        <w:tc>
          <w:tcPr>
            <w:tcW w:w="2484" w:type="dxa"/>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技术规格、参数及要求</w:t>
            </w:r>
          </w:p>
        </w:tc>
        <w:tc>
          <w:tcPr>
            <w:tcW w:w="1340" w:type="dxa"/>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是否允许进口产品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617" w:type="dxa"/>
            <w:vAlign w:val="center"/>
          </w:tcPr>
          <w:p>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p>
        </w:tc>
        <w:tc>
          <w:tcPr>
            <w:tcW w:w="1438" w:type="dxa"/>
            <w:tcBorders>
              <w:right w:val="single" w:color="auto" w:sz="4" w:space="0"/>
            </w:tcBorders>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其他电力工业设备</w:t>
            </w:r>
          </w:p>
        </w:tc>
        <w:tc>
          <w:tcPr>
            <w:tcW w:w="2103" w:type="dxa"/>
            <w:tcBorders>
              <w:left w:val="single" w:color="auto" w:sz="4" w:space="0"/>
            </w:tcBorders>
            <w:vAlign w:val="center"/>
          </w:tcPr>
          <w:p>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石龙坑石河西十七巷新建拆迁安置房项目-新增400kVA箱变电站</w:t>
            </w:r>
          </w:p>
        </w:tc>
        <w:tc>
          <w:tcPr>
            <w:tcW w:w="1475"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1.00(项)</w:t>
            </w:r>
          </w:p>
        </w:tc>
        <w:tc>
          <w:tcPr>
            <w:tcW w:w="2484"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详见第二章</w:t>
            </w:r>
          </w:p>
        </w:tc>
        <w:tc>
          <w:tcPr>
            <w:tcW w:w="1340"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否</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0" w:firstLineChars="4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本采购包不接受联合体响应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0" w:firstLineChars="4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合同履行期限：</w:t>
      </w:r>
      <w:r>
        <w:rPr>
          <w:rFonts w:hint="eastAsia" w:ascii="宋体" w:hAnsi="宋体" w:eastAsia="宋体" w:cs="宋体"/>
          <w:color w:val="auto"/>
          <w:highlight w:val="none"/>
          <w:lang w:eastAsia="zh-CN"/>
        </w:rPr>
        <w:t>合同签订后60日内完成交货、安装并通电。</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7" w:name="_Toc31295"/>
      <w:bookmarkStart w:id="8" w:name="_Toc29390"/>
      <w:r>
        <w:rPr>
          <w:rFonts w:hint="eastAsia" w:ascii="宋体" w:hAnsi="宋体" w:eastAsia="宋体" w:cs="宋体"/>
          <w:color w:val="auto"/>
          <w:highlight w:val="none"/>
        </w:rPr>
        <w:t>二.供应商的资格要求</w:t>
      </w:r>
      <w:bookmarkEnd w:id="7"/>
      <w:bookmarkEnd w:id="8"/>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9" w:name="_Toc30152"/>
      <w:bookmarkStart w:id="10" w:name="_Toc3239"/>
      <w:r>
        <w:rPr>
          <w:rFonts w:hint="eastAsia" w:ascii="宋体" w:hAnsi="宋体" w:eastAsia="宋体" w:cs="宋体"/>
          <w:color w:val="auto"/>
          <w:highlight w:val="none"/>
        </w:rPr>
        <w:t>1.供应商应具备《中华人民共和国政府采购法》第二十二条规定的条件，提供下列材料：</w:t>
      </w:r>
      <w:bookmarkEnd w:id="9"/>
      <w:bookmarkEnd w:id="1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2）有依法缴纳税收和社会保障资金的良好记录：</w:t>
      </w:r>
      <w:r>
        <w:rPr>
          <w:rFonts w:hint="eastAsia" w:ascii="宋体" w:hAnsi="宋体" w:eastAsia="宋体" w:cs="宋体"/>
          <w:color w:val="auto"/>
          <w:highlight w:val="none"/>
          <w:lang w:eastAsia="zh-CN"/>
        </w:rPr>
        <w:t>提供投标截止日前6个月内任意1个月依法缴纳税收和社会保障资金的相关材料（或提供相关承诺函）。如依法免税或不需要缴纳社会保障资金的，提供相应证明材料</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3）具有良好的商业信誉和健全的财务会计制度：</w:t>
      </w:r>
      <w:r>
        <w:rPr>
          <w:rFonts w:hint="eastAsia" w:ascii="宋体" w:hAnsi="宋体" w:eastAsia="宋体" w:cs="宋体"/>
          <w:color w:val="auto"/>
          <w:highlight w:val="none"/>
          <w:lang w:eastAsia="zh-CN"/>
        </w:rPr>
        <w:t>提供最近一年年度财务状况报告或最近一年内任意一个月的财务状况报告或基本开户行出具的资信证明或专业担保机构出具的投标担保函或提供相关承诺函</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4）履行合同所必须的设备和专业技术能力：按投标（响应）文件格式填报设备及专业技术能力情况。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snapToGrid w:val="0"/>
          <w:color w:val="auto"/>
          <w:kern w:val="0"/>
          <w:szCs w:val="21"/>
          <w:highlight w:val="none"/>
          <w:lang w:val="en-US" w:eastAsia="zh-CN"/>
        </w:rPr>
        <w:t>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lang w:val="en-US" w:eastAsia="zh-CN"/>
        </w:rPr>
      </w:pPr>
      <w:bookmarkStart w:id="11" w:name="_Toc20459"/>
      <w:bookmarkStart w:id="12" w:name="_Toc22233"/>
      <w:r>
        <w:rPr>
          <w:rFonts w:hint="eastAsia" w:ascii="宋体" w:hAnsi="宋体" w:eastAsia="宋体" w:cs="宋体"/>
          <w:color w:val="auto"/>
          <w:highlight w:val="none"/>
        </w:rPr>
        <w:t>2.落实政府采购政策需满足的资格要求：</w:t>
      </w:r>
      <w:bookmarkEnd w:id="11"/>
      <w:bookmarkEnd w:id="12"/>
      <w:r>
        <w:rPr>
          <w:rFonts w:hint="eastAsia" w:ascii="宋体" w:hAnsi="宋体" w:eastAsia="宋体" w:cs="宋体"/>
          <w:color w:val="auto"/>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13" w:name="_Toc23771"/>
      <w:bookmarkStart w:id="14" w:name="_Toc20703"/>
      <w:r>
        <w:rPr>
          <w:rFonts w:hint="eastAsia" w:ascii="宋体" w:hAnsi="宋体" w:eastAsia="宋体" w:cs="宋体"/>
          <w:color w:val="auto"/>
          <w:highlight w:val="none"/>
        </w:rPr>
        <w:t>3.本项目特定的资格要求：</w:t>
      </w:r>
      <w:bookmarkEnd w:id="13"/>
      <w:bookmarkEnd w:id="1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ascii="宋体" w:hAnsi="宋体" w:eastAsia="宋体" w:cs="宋体"/>
          <w:color w:val="auto"/>
          <w:highlight w:val="none"/>
          <w:lang w:eastAsia="zh-CN"/>
        </w:rPr>
        <w:t>石龙坑石河西十七巷新建拆迁安置房项目-新增400kVA箱变电站</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snapToGrid w:val="0"/>
          <w:color w:val="auto"/>
          <w:kern w:val="0"/>
          <w:szCs w:val="21"/>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投标（报价）函相关承诺要求内容。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bookmarkStart w:id="15" w:name="_Toc8003"/>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特定资格：供应商须具备有效的电力工程施工总承包三级(含)以上资质或输变电工程专业承包三级(含)以上资质或承装类五级(含)以上《承装(修、试)电力设施许可证》，且具有有效的《安全生产许可证》。</w:t>
      </w:r>
      <w:bookmarkEnd w:id="15"/>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16" w:name="_Toc5133"/>
      <w:bookmarkStart w:id="17" w:name="_Toc14738"/>
      <w:r>
        <w:rPr>
          <w:rFonts w:hint="eastAsia" w:ascii="宋体" w:hAnsi="宋体" w:eastAsia="宋体" w:cs="宋体"/>
          <w:color w:val="auto"/>
          <w:highlight w:val="none"/>
        </w:rPr>
        <w:t>三.获取磋商文件</w:t>
      </w:r>
      <w:bookmarkEnd w:id="16"/>
      <w:bookmarkEnd w:id="17"/>
    </w:p>
    <w:p>
      <w:pPr>
        <w:keepNext w:val="0"/>
        <w:keepLines w:val="0"/>
        <w:pageBreakBefore w:val="0"/>
        <w:widowControl/>
        <w:kinsoku w:val="0"/>
        <w:wordWrap/>
        <w:overflowPunct/>
        <w:topLinePunct w:val="0"/>
        <w:autoSpaceDE w:val="0"/>
        <w:autoSpaceDN w:val="0"/>
        <w:bidi w:val="0"/>
        <w:adjustRightInd w:val="0"/>
        <w:snapToGrid w:val="0"/>
        <w:spacing w:before="111" w:line="360" w:lineRule="auto"/>
        <w:ind w:firstLine="39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时间：详见</w:t>
      </w:r>
      <w:r>
        <w:rPr>
          <w:rFonts w:hint="eastAsia" w:ascii="宋体" w:hAnsi="宋体" w:eastAsia="宋体" w:cs="宋体"/>
          <w:color w:val="auto"/>
          <w:spacing w:val="-7"/>
          <w:sz w:val="21"/>
          <w:szCs w:val="21"/>
          <w:highlight w:val="none"/>
          <w:lang w:eastAsia="zh-CN"/>
        </w:rPr>
        <w:t>磋商</w:t>
      </w:r>
      <w:r>
        <w:rPr>
          <w:rFonts w:hint="eastAsia" w:ascii="宋体" w:hAnsi="宋体" w:eastAsia="宋体" w:cs="宋体"/>
          <w:color w:val="auto"/>
          <w:spacing w:val="-7"/>
          <w:sz w:val="21"/>
          <w:szCs w:val="21"/>
          <w:highlight w:val="none"/>
        </w:rPr>
        <w:t>公告及其变更公告（如有）</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8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地点：详见</w:t>
      </w:r>
      <w:r>
        <w:rPr>
          <w:rFonts w:hint="eastAsia" w:ascii="宋体" w:hAnsi="宋体" w:eastAsia="宋体" w:cs="宋体"/>
          <w:color w:val="auto"/>
          <w:spacing w:val="-7"/>
          <w:sz w:val="21"/>
          <w:szCs w:val="21"/>
          <w:highlight w:val="none"/>
          <w:lang w:eastAsia="zh-CN"/>
        </w:rPr>
        <w:t>磋商</w:t>
      </w:r>
      <w:r>
        <w:rPr>
          <w:rFonts w:hint="eastAsia" w:ascii="宋体" w:hAnsi="宋体" w:eastAsia="宋体" w:cs="宋体"/>
          <w:color w:val="auto"/>
          <w:spacing w:val="-7"/>
          <w:sz w:val="21"/>
          <w:szCs w:val="21"/>
          <w:highlight w:val="none"/>
        </w:rPr>
        <w:t>公告及其变更公告（如有）</w:t>
      </w:r>
    </w:p>
    <w:p>
      <w:pPr>
        <w:keepNext w:val="0"/>
        <w:keepLines w:val="0"/>
        <w:pageBreakBefore w:val="0"/>
        <w:widowControl/>
        <w:kinsoku w:val="0"/>
        <w:wordWrap/>
        <w:overflowPunct/>
        <w:topLinePunct w:val="0"/>
        <w:autoSpaceDE w:val="0"/>
        <w:autoSpaceDN w:val="0"/>
        <w:bidi w:val="0"/>
        <w:adjustRightInd w:val="0"/>
        <w:snapToGrid w:val="0"/>
        <w:spacing w:before="134" w:line="360" w:lineRule="auto"/>
        <w:ind w:left="7" w:firstLine="385"/>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rPr>
        <w:t>获取方式：</w:t>
      </w:r>
      <w:r>
        <w:rPr>
          <w:rFonts w:hint="eastAsia" w:ascii="宋体" w:hAnsi="宋体" w:eastAsia="宋体" w:cs="宋体"/>
          <w:color w:val="auto"/>
          <w:spacing w:val="-2"/>
          <w:sz w:val="21"/>
          <w:szCs w:val="21"/>
          <w:highlight w:val="none"/>
          <w:lang w:eastAsia="zh-CN"/>
        </w:rPr>
        <w:t>现场</w:t>
      </w:r>
      <w:r>
        <w:rPr>
          <w:rFonts w:hint="eastAsia" w:ascii="宋体" w:hAnsi="宋体" w:eastAsia="宋体" w:cs="宋体"/>
          <w:color w:val="auto"/>
          <w:spacing w:val="-2"/>
          <w:sz w:val="21"/>
          <w:szCs w:val="21"/>
          <w:highlight w:val="none"/>
        </w:rPr>
        <w:t>获取。</w:t>
      </w:r>
      <w:r>
        <w:rPr>
          <w:rFonts w:hint="eastAsia" w:ascii="宋体" w:hAnsi="宋体" w:eastAsia="宋体" w:cs="宋体"/>
          <w:color w:val="auto"/>
          <w:spacing w:val="2"/>
          <w:sz w:val="21"/>
          <w:szCs w:val="21"/>
          <w:highlight w:val="none"/>
        </w:rPr>
        <w:t>供应商应</w:t>
      </w:r>
      <w:r>
        <w:rPr>
          <w:rFonts w:hint="eastAsia" w:ascii="宋体" w:hAnsi="宋体" w:eastAsia="宋体" w:cs="宋体"/>
          <w:color w:val="auto"/>
          <w:spacing w:val="2"/>
          <w:sz w:val="21"/>
          <w:szCs w:val="21"/>
          <w:highlight w:val="none"/>
          <w:lang w:eastAsia="zh-CN"/>
        </w:rPr>
        <w:t>携带</w:t>
      </w:r>
      <w:r>
        <w:rPr>
          <w:rFonts w:hint="eastAsia" w:ascii="宋体" w:hAnsi="宋体" w:eastAsia="宋体" w:cs="宋体"/>
          <w:color w:val="auto"/>
          <w:spacing w:val="2"/>
          <w:sz w:val="21"/>
          <w:szCs w:val="21"/>
          <w:highlight w:val="none"/>
        </w:rPr>
        <w:t>投标人营业执照（事业单位法人证书或法人登记证）副本复印件</w:t>
      </w:r>
      <w:r>
        <w:rPr>
          <w:rFonts w:hint="eastAsia" w:ascii="宋体" w:hAnsi="宋体" w:eastAsia="宋体" w:cs="宋体"/>
          <w:color w:val="auto"/>
          <w:spacing w:val="2"/>
          <w:sz w:val="21"/>
          <w:szCs w:val="21"/>
          <w:highlight w:val="none"/>
          <w:lang w:eastAsia="zh-CN"/>
        </w:rPr>
        <w:t>加盖公章至采购代理处</w:t>
      </w:r>
      <w:r>
        <w:rPr>
          <w:rFonts w:hint="eastAsia" w:ascii="宋体" w:hAnsi="宋体" w:eastAsia="宋体" w:cs="宋体"/>
          <w:color w:val="auto"/>
          <w:spacing w:val="2"/>
          <w:sz w:val="21"/>
          <w:szCs w:val="21"/>
          <w:highlight w:val="none"/>
        </w:rPr>
        <w:t>完成项目投标登记并获取</w:t>
      </w:r>
      <w:r>
        <w:rPr>
          <w:rFonts w:hint="eastAsia" w:ascii="宋体" w:hAnsi="宋体" w:eastAsia="宋体" w:cs="宋体"/>
          <w:color w:val="auto"/>
          <w:spacing w:val="2"/>
          <w:sz w:val="21"/>
          <w:szCs w:val="21"/>
          <w:highlight w:val="none"/>
          <w:lang w:eastAsia="zh-CN"/>
        </w:rPr>
        <w:t>磋商</w:t>
      </w:r>
      <w:r>
        <w:rPr>
          <w:rFonts w:hint="eastAsia" w:ascii="宋体" w:hAnsi="宋体" w:eastAsia="宋体" w:cs="宋体"/>
          <w:color w:val="auto"/>
          <w:spacing w:val="2"/>
          <w:sz w:val="21"/>
          <w:szCs w:val="21"/>
          <w:highlight w:val="none"/>
        </w:rPr>
        <w:t>文件（未</w:t>
      </w:r>
      <w:r>
        <w:rPr>
          <w:rFonts w:hint="eastAsia" w:ascii="宋体" w:hAnsi="宋体" w:eastAsia="宋体" w:cs="宋体"/>
          <w:color w:val="auto"/>
          <w:spacing w:val="-2"/>
          <w:sz w:val="21"/>
          <w:szCs w:val="21"/>
          <w:highlight w:val="none"/>
        </w:rPr>
        <w:t>按上述方式获取</w:t>
      </w:r>
      <w:r>
        <w:rPr>
          <w:rFonts w:hint="eastAsia" w:ascii="宋体" w:hAnsi="宋体" w:eastAsia="宋体" w:cs="宋体"/>
          <w:color w:val="auto"/>
          <w:spacing w:val="-2"/>
          <w:sz w:val="21"/>
          <w:szCs w:val="21"/>
          <w:highlight w:val="none"/>
          <w:lang w:eastAsia="zh-CN"/>
        </w:rPr>
        <w:t>磋商</w:t>
      </w:r>
      <w:r>
        <w:rPr>
          <w:rFonts w:hint="eastAsia" w:ascii="宋体" w:hAnsi="宋体" w:eastAsia="宋体" w:cs="宋体"/>
          <w:color w:val="auto"/>
          <w:spacing w:val="-2"/>
          <w:sz w:val="21"/>
          <w:szCs w:val="21"/>
          <w:highlight w:val="none"/>
        </w:rPr>
        <w:t>文件的供应商，其投标资格将被视为无效）。售价：</w:t>
      </w:r>
      <w:permStart w:id="0" w:edGrp="everyone"/>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lang w:val="en-US" w:eastAsia="zh-CN"/>
        </w:rPr>
        <w:t>200</w:t>
      </w:r>
      <w:permEnd w:id="0"/>
      <w:r>
        <w:rPr>
          <w:rFonts w:hint="eastAsia" w:ascii="宋体" w:hAnsi="宋体" w:eastAsia="宋体" w:cs="宋体"/>
          <w:color w:val="auto"/>
          <w:spacing w:val="-2"/>
          <w:sz w:val="21"/>
          <w:szCs w:val="21"/>
          <w:highlight w:val="none"/>
          <w:lang w:val="en-US" w:eastAsia="zh-CN"/>
        </w:rPr>
        <w:t>元</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18" w:name="_Toc12249"/>
      <w:bookmarkStart w:id="19" w:name="_Toc23194"/>
      <w:r>
        <w:rPr>
          <w:rFonts w:hint="eastAsia" w:ascii="宋体" w:hAnsi="宋体" w:eastAsia="宋体" w:cs="宋体"/>
          <w:color w:val="auto"/>
          <w:highlight w:val="none"/>
        </w:rPr>
        <w:t>四.提交响应文件截止时间、开启时间和地点：</w:t>
      </w:r>
      <w:bookmarkEnd w:id="18"/>
      <w:bookmarkEnd w:id="19"/>
    </w:p>
    <w:p>
      <w:pPr>
        <w:keepNext w:val="0"/>
        <w:keepLines w:val="0"/>
        <w:pageBreakBefore w:val="0"/>
        <w:widowControl/>
        <w:kinsoku w:val="0"/>
        <w:wordWrap/>
        <w:overflowPunct/>
        <w:topLinePunct w:val="0"/>
        <w:autoSpaceDE w:val="0"/>
        <w:autoSpaceDN w:val="0"/>
        <w:bidi w:val="0"/>
        <w:adjustRightInd w:val="0"/>
        <w:snapToGrid w:val="0"/>
        <w:spacing w:before="111" w:line="360" w:lineRule="auto"/>
        <w:ind w:firstLine="39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提交</w:t>
      </w:r>
      <w:r>
        <w:rPr>
          <w:rFonts w:hint="eastAsia" w:ascii="宋体" w:hAnsi="宋体" w:eastAsia="宋体" w:cs="宋体"/>
          <w:color w:val="auto"/>
          <w:spacing w:val="-3"/>
          <w:sz w:val="21"/>
          <w:szCs w:val="21"/>
          <w:highlight w:val="none"/>
          <w:lang w:eastAsia="zh-CN"/>
        </w:rPr>
        <w:t>响应文件</w:t>
      </w:r>
      <w:r>
        <w:rPr>
          <w:rFonts w:hint="eastAsia" w:ascii="宋体" w:hAnsi="宋体" w:eastAsia="宋体" w:cs="宋体"/>
          <w:color w:val="auto"/>
          <w:spacing w:val="-3"/>
          <w:sz w:val="21"/>
          <w:szCs w:val="21"/>
          <w:highlight w:val="none"/>
        </w:rPr>
        <w:t>截止时间和开标时间：详见</w:t>
      </w:r>
      <w:r>
        <w:rPr>
          <w:rFonts w:hint="eastAsia" w:ascii="宋体" w:hAnsi="宋体" w:eastAsia="宋体" w:cs="宋体"/>
          <w:color w:val="auto"/>
          <w:spacing w:val="-3"/>
          <w:sz w:val="21"/>
          <w:szCs w:val="21"/>
          <w:highlight w:val="none"/>
          <w:lang w:eastAsia="zh-CN"/>
        </w:rPr>
        <w:t>磋商</w:t>
      </w:r>
      <w:r>
        <w:rPr>
          <w:rFonts w:hint="eastAsia" w:ascii="宋体" w:hAnsi="宋体" w:eastAsia="宋体" w:cs="宋体"/>
          <w:color w:val="auto"/>
          <w:spacing w:val="-3"/>
          <w:sz w:val="21"/>
          <w:szCs w:val="21"/>
          <w:highlight w:val="none"/>
        </w:rPr>
        <w:t>公告及其变更公告（如有）</w:t>
      </w:r>
      <w:r>
        <w:rPr>
          <w:rFonts w:hint="eastAsia" w:ascii="宋体" w:hAnsi="宋体" w:eastAsia="宋体" w:cs="宋体"/>
          <w:color w:val="auto"/>
          <w:spacing w:val="1"/>
          <w:sz w:val="21"/>
          <w:szCs w:val="21"/>
          <w:highlight w:val="none"/>
        </w:rPr>
        <w:t>（自</w:t>
      </w:r>
      <w:r>
        <w:rPr>
          <w:rFonts w:hint="eastAsia" w:ascii="宋体" w:hAnsi="宋体" w:eastAsia="宋体" w:cs="宋体"/>
          <w:color w:val="auto"/>
          <w:spacing w:val="1"/>
          <w:sz w:val="21"/>
          <w:szCs w:val="21"/>
          <w:highlight w:val="none"/>
          <w:lang w:eastAsia="zh-CN"/>
        </w:rPr>
        <w:t>磋商</w:t>
      </w:r>
      <w:r>
        <w:rPr>
          <w:rFonts w:hint="eastAsia" w:ascii="宋体" w:hAnsi="宋体" w:eastAsia="宋体" w:cs="宋体"/>
          <w:color w:val="auto"/>
          <w:spacing w:val="1"/>
          <w:sz w:val="21"/>
          <w:szCs w:val="21"/>
          <w:highlight w:val="none"/>
        </w:rPr>
        <w:t>文件开始发出之日起至投标人提交</w:t>
      </w:r>
      <w:r>
        <w:rPr>
          <w:rFonts w:hint="eastAsia" w:ascii="宋体" w:hAnsi="宋体" w:eastAsia="宋体" w:cs="宋体"/>
          <w:color w:val="auto"/>
          <w:spacing w:val="1"/>
          <w:sz w:val="21"/>
          <w:szCs w:val="21"/>
          <w:highlight w:val="none"/>
          <w:lang w:eastAsia="zh-CN"/>
        </w:rPr>
        <w:t>响应文件</w:t>
      </w:r>
      <w:r>
        <w:rPr>
          <w:rFonts w:hint="eastAsia" w:ascii="宋体" w:hAnsi="宋体" w:eastAsia="宋体" w:cs="宋体"/>
          <w:color w:val="auto"/>
          <w:spacing w:val="1"/>
          <w:sz w:val="21"/>
          <w:szCs w:val="21"/>
          <w:highlight w:val="none"/>
        </w:rPr>
        <w:t>截止之日止，不得少于</w:t>
      </w: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rPr>
        <w:t>0日）</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firstLine="389"/>
        <w:textAlignment w:val="baseline"/>
        <w:outlineLvl w:val="1"/>
        <w:rPr>
          <w:rFonts w:hint="eastAsia" w:ascii="宋体" w:hAnsi="宋体" w:eastAsia="宋体" w:cs="宋体"/>
          <w:color w:val="auto"/>
          <w:sz w:val="21"/>
          <w:szCs w:val="21"/>
          <w:highlight w:val="none"/>
        </w:rPr>
      </w:pPr>
      <w:bookmarkStart w:id="20" w:name="_Toc19810"/>
      <w:r>
        <w:rPr>
          <w:rFonts w:hint="eastAsia" w:ascii="宋体" w:hAnsi="宋体" w:eastAsia="宋体" w:cs="宋体"/>
          <w:color w:val="auto"/>
          <w:spacing w:val="-7"/>
          <w:sz w:val="21"/>
          <w:szCs w:val="21"/>
          <w:highlight w:val="none"/>
        </w:rPr>
        <w:t>地点：详见</w:t>
      </w:r>
      <w:r>
        <w:rPr>
          <w:rFonts w:hint="eastAsia" w:ascii="宋体" w:hAnsi="宋体" w:eastAsia="宋体" w:cs="宋体"/>
          <w:color w:val="auto"/>
          <w:spacing w:val="-7"/>
          <w:sz w:val="21"/>
          <w:szCs w:val="21"/>
          <w:highlight w:val="none"/>
          <w:lang w:eastAsia="zh-CN"/>
        </w:rPr>
        <w:t>磋商</w:t>
      </w:r>
      <w:r>
        <w:rPr>
          <w:rFonts w:hint="eastAsia" w:ascii="宋体" w:hAnsi="宋体" w:eastAsia="宋体" w:cs="宋体"/>
          <w:color w:val="auto"/>
          <w:spacing w:val="-7"/>
          <w:sz w:val="21"/>
          <w:szCs w:val="21"/>
          <w:highlight w:val="none"/>
        </w:rPr>
        <w:t>公告及其变更公告（如有）</w:t>
      </w:r>
      <w:bookmarkEnd w:id="20"/>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21" w:name="_Toc24019"/>
      <w:bookmarkStart w:id="22" w:name="_Toc16947"/>
      <w:r>
        <w:rPr>
          <w:rFonts w:hint="eastAsia" w:ascii="宋体" w:hAnsi="宋体" w:eastAsia="宋体" w:cs="宋体"/>
          <w:color w:val="auto"/>
          <w:highlight w:val="none"/>
        </w:rPr>
        <w:t>五.公告期限、发布公告的媒介：</w:t>
      </w:r>
      <w:bookmarkEnd w:id="21"/>
      <w:bookmarkEnd w:id="22"/>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1、公告期限：自本公告发布之日起不得少于3个工作日。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2、发布公告的媒介：</w:t>
      </w:r>
      <w:permStart w:id="1" w:edGrp="everyone"/>
      <w:r>
        <w:rPr>
          <w:rFonts w:hint="eastAsia" w:ascii="宋体" w:hAnsi="宋体" w:eastAsia="宋体" w:cs="宋体"/>
          <w:color w:val="auto"/>
          <w:highlight w:val="none"/>
        </w:rPr>
        <w:t>采购与招标网、</w:t>
      </w:r>
      <w:r>
        <w:rPr>
          <w:rFonts w:hint="eastAsia" w:ascii="宋体" w:hAnsi="宋体" w:eastAsia="宋体" w:cs="宋体"/>
          <w:color w:val="auto"/>
          <w:sz w:val="21"/>
          <w:szCs w:val="21"/>
          <w:highlight w:val="none"/>
          <w:lang w:eastAsia="zh-CN"/>
        </w:rPr>
        <w:t>东莞市金燕工程管理有限公司（ www.gdjygcgl.com/）</w:t>
      </w:r>
      <w:permEnd w:id="1"/>
      <w:r>
        <w:rPr>
          <w:rFonts w:hint="eastAsia" w:ascii="宋体" w:hAnsi="宋体" w:eastAsia="宋体" w:cs="宋体"/>
          <w:color w:val="auto"/>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23" w:name="_Toc23287"/>
      <w:bookmarkStart w:id="24" w:name="_Toc31650"/>
      <w:r>
        <w:rPr>
          <w:rFonts w:hint="eastAsia" w:ascii="宋体" w:hAnsi="宋体" w:eastAsia="宋体" w:cs="宋体"/>
          <w:color w:val="auto"/>
          <w:highlight w:val="none"/>
        </w:rPr>
        <w:t>六.本项目联系方式：</w:t>
      </w:r>
      <w:bookmarkEnd w:id="23"/>
      <w:bookmarkEnd w:id="2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25" w:name="_Toc20212"/>
      <w:bookmarkStart w:id="26" w:name="_Toc23661"/>
      <w:r>
        <w:rPr>
          <w:rFonts w:hint="eastAsia" w:ascii="宋体" w:hAnsi="宋体" w:eastAsia="宋体" w:cs="宋体"/>
          <w:color w:val="auto"/>
          <w:highlight w:val="none"/>
        </w:rPr>
        <w:t>1.采购人信息</w:t>
      </w:r>
      <w:bookmarkEnd w:id="25"/>
      <w:bookmarkEnd w:id="26"/>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东莞市寮步镇石龙坑股份经济联合社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石龙坑村委会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联系方式：0769-83321446</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27" w:name="_Toc14104"/>
      <w:bookmarkStart w:id="28" w:name="_Toc3159"/>
      <w:r>
        <w:rPr>
          <w:rFonts w:hint="eastAsia" w:ascii="宋体" w:hAnsi="宋体" w:eastAsia="宋体" w:cs="宋体"/>
          <w:color w:val="auto"/>
          <w:highlight w:val="none"/>
        </w:rPr>
        <w:t>2.采购代理机构信息</w:t>
      </w:r>
      <w:bookmarkEnd w:id="27"/>
      <w:bookmarkEnd w:id="28"/>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东莞市金燕工程管理有限公司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广东省东莞市望牛墩镇中下坊明基新村十三巷2号之一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13416956677</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29" w:name="_Toc27879"/>
      <w:bookmarkStart w:id="30" w:name="_Toc19343"/>
      <w:r>
        <w:rPr>
          <w:rFonts w:hint="eastAsia" w:ascii="宋体" w:hAnsi="宋体" w:eastAsia="宋体" w:cs="宋体"/>
          <w:color w:val="auto"/>
          <w:highlight w:val="none"/>
        </w:rPr>
        <w:t>3.项目联系方式</w:t>
      </w:r>
      <w:bookmarkEnd w:id="29"/>
      <w:bookmarkEnd w:id="3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eastAsia="zh-CN"/>
        </w:rPr>
        <w:t>李工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lang w:eastAsia="zh-CN"/>
        </w:rPr>
        <w:t>13416956677</w:t>
      </w:r>
    </w:p>
    <w:p>
      <w:pPr>
        <w:jc w:val="right"/>
        <w:rPr>
          <w:rFonts w:hint="eastAsia" w:ascii="宋体" w:hAnsi="宋体" w:eastAsia="宋体" w:cs="宋体"/>
          <w:color w:val="auto"/>
          <w:spacing w:val="-12"/>
          <w:sz w:val="22"/>
          <w:szCs w:val="22"/>
          <w:highlight w:val="none"/>
        </w:rPr>
      </w:pPr>
    </w:p>
    <w:p>
      <w:pPr>
        <w:jc w:val="right"/>
        <w:rPr>
          <w:rFonts w:hint="eastAsia" w:ascii="宋体" w:hAnsi="宋体" w:eastAsia="宋体" w:cs="宋体"/>
          <w:color w:val="auto"/>
          <w:spacing w:val="-12"/>
          <w:sz w:val="22"/>
          <w:szCs w:val="22"/>
          <w:highlight w:val="none"/>
        </w:rPr>
      </w:pPr>
    </w:p>
    <w:p>
      <w:pPr>
        <w:pStyle w:val="7"/>
        <w:widowControl w:val="0"/>
        <w:kinsoku/>
        <w:adjustRightInd/>
        <w:snapToGrid/>
        <w:spacing w:before="76" w:after="0" w:line="379" w:lineRule="auto"/>
        <w:ind w:left="590" w:right="186" w:rightChars="0"/>
        <w:jc w:val="right"/>
        <w:textAlignment w:val="auto"/>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rPr>
        <w:t>采购代理机构：</w:t>
      </w:r>
      <w:r>
        <w:rPr>
          <w:rFonts w:hint="eastAsia" w:ascii="宋体" w:hAnsi="宋体" w:eastAsia="宋体" w:cs="宋体"/>
          <w:color w:val="auto"/>
          <w:spacing w:val="-12"/>
          <w:sz w:val="21"/>
          <w:szCs w:val="21"/>
          <w:highlight w:val="none"/>
          <w:lang w:eastAsia="zh-CN"/>
        </w:rPr>
        <w:t>东莞市金燕工程管理有限公司</w:t>
      </w:r>
    </w:p>
    <w:p>
      <w:pPr>
        <w:pStyle w:val="7"/>
        <w:rPr>
          <w:rFonts w:hint="eastAsia" w:ascii="宋体" w:hAnsi="宋体" w:eastAsia="宋体" w:cs="宋体"/>
          <w:color w:val="auto"/>
          <w:spacing w:val="-12"/>
          <w:sz w:val="22"/>
          <w:szCs w:val="22"/>
          <w:highlight w:val="none"/>
          <w:lang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bidi w:val="0"/>
        <w:outlineLvl w:val="0"/>
        <w:rPr>
          <w:rFonts w:hint="eastAsia" w:ascii="宋体" w:hAnsi="宋体" w:eastAsia="宋体" w:cs="宋体"/>
          <w:color w:val="auto"/>
          <w:sz w:val="28"/>
          <w:szCs w:val="28"/>
          <w:highlight w:val="none"/>
        </w:rPr>
      </w:pPr>
      <w:bookmarkStart w:id="31" w:name="_Toc7538"/>
      <w:r>
        <w:rPr>
          <w:rFonts w:hint="eastAsia" w:ascii="宋体" w:hAnsi="宋体" w:eastAsia="宋体" w:cs="宋体"/>
          <w:color w:val="auto"/>
          <w:sz w:val="28"/>
          <w:szCs w:val="28"/>
          <w:highlight w:val="none"/>
        </w:rPr>
        <w:t>第二章采购需求</w:t>
      </w:r>
      <w:bookmarkEnd w:id="31"/>
    </w:p>
    <w:p>
      <w:pPr>
        <w:spacing w:line="441" w:lineRule="auto"/>
        <w:rPr>
          <w:rFonts w:hint="eastAsia" w:ascii="宋体" w:hAnsi="宋体" w:eastAsia="宋体" w:cs="宋体"/>
          <w:color w:val="auto"/>
          <w:sz w:val="21"/>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rPr>
          <w:rFonts w:hint="eastAsia" w:ascii="宋体" w:hAnsi="宋体" w:eastAsia="宋体" w:cs="宋体"/>
          <w:color w:val="auto"/>
          <w:highlight w:val="none"/>
        </w:rPr>
      </w:pPr>
      <w:bookmarkStart w:id="32" w:name="_Toc27084"/>
      <w:bookmarkStart w:id="33" w:name="_Toc22552"/>
      <w:r>
        <w:rPr>
          <w:rFonts w:hint="eastAsia" w:ascii="宋体" w:hAnsi="宋体" w:eastAsia="宋体" w:cs="宋体"/>
          <w:color w:val="auto"/>
          <w:highlight w:val="none"/>
        </w:rPr>
        <w:t>一、项目概况</w:t>
      </w:r>
      <w:bookmarkEnd w:id="32"/>
      <w:bookmarkEnd w:id="3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1、项目名称：</w:t>
      </w:r>
      <w:r>
        <w:rPr>
          <w:rFonts w:hint="eastAsia" w:ascii="宋体" w:hAnsi="宋体" w:eastAsia="宋体" w:cs="宋体"/>
          <w:color w:val="auto"/>
          <w:highlight w:val="none"/>
          <w:lang w:eastAsia="zh-CN"/>
        </w:rPr>
        <w:t>石龙坑石河西十七巷新建拆迁安置房项目-新增400kVA箱变电站</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2、服务地点：采购人指定地点。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3、采购预算：￥</w:t>
      </w:r>
      <w:r>
        <w:rPr>
          <w:rFonts w:hint="eastAsia" w:ascii="宋体" w:hAnsi="宋体" w:eastAsia="宋体" w:cs="宋体"/>
          <w:color w:val="auto"/>
          <w:highlight w:val="none"/>
          <w:lang w:eastAsia="zh-CN"/>
        </w:rPr>
        <w:t>424039.65</w:t>
      </w:r>
      <w:r>
        <w:rPr>
          <w:rFonts w:hint="eastAsia" w:ascii="宋体" w:hAnsi="宋体" w:eastAsia="宋体" w:cs="宋体"/>
          <w:color w:val="auto"/>
          <w:highlight w:val="none"/>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4、投标报价超过采购预算作废标处理。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ascii="宋体" w:hAnsi="宋体" w:eastAsia="宋体" w:cs="宋体"/>
          <w:color w:val="auto"/>
          <w:highlight w:val="none"/>
        </w:rPr>
        <w:t>5、具体施工要求以施工图和工程量清单为准（施工图和工程量清单详见磋商公告附件）。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lang w:eastAsia="zh-CN"/>
        </w:rPr>
        <w:t>石龙坑石河西十七巷新建拆迁安置房项目-新增400kVA箱变电站</w:t>
      </w:r>
      <w:r>
        <w:rPr>
          <w:rFonts w:hint="eastAsia" w:ascii="宋体" w:hAnsi="宋体" w:eastAsia="宋体" w:cs="宋体"/>
          <w:color w:val="auto"/>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rPr>
          <w:rFonts w:hint="eastAsia" w:ascii="宋体" w:hAnsi="宋体" w:eastAsia="宋体" w:cs="宋体"/>
          <w:color w:val="auto"/>
          <w:highlight w:val="none"/>
        </w:rPr>
      </w:pPr>
      <w:bookmarkStart w:id="34" w:name="_Toc14951"/>
      <w:bookmarkStart w:id="35" w:name="_Toc7050"/>
      <w:r>
        <w:rPr>
          <w:rFonts w:hint="eastAsia" w:ascii="宋体" w:hAnsi="宋体" w:eastAsia="宋体" w:cs="宋体"/>
          <w:color w:val="auto"/>
          <w:highlight w:val="none"/>
        </w:rPr>
        <w:t>1</w:t>
      </w:r>
      <w:r>
        <w:rPr>
          <w:rFonts w:hint="eastAsia" w:ascii="宋体" w:hAnsi="宋体" w:eastAsia="宋体" w:cs="宋体"/>
          <w:color w:val="auto"/>
          <w:highlight w:val="none"/>
          <w:lang w:val="zh-CN" w:eastAsia="zh-CN"/>
        </w:rPr>
        <w:t>.主要商务要求</w:t>
      </w:r>
      <w:bookmarkEnd w:id="34"/>
      <w:bookmarkEnd w:id="35"/>
    </w:p>
    <w:p>
      <w:pPr>
        <w:spacing w:line="147" w:lineRule="exact"/>
        <w:rPr>
          <w:rFonts w:hint="eastAsia" w:ascii="宋体" w:hAnsi="宋体" w:eastAsia="宋体" w:cs="宋体"/>
          <w:color w:val="auto"/>
          <w:highlight w:val="none"/>
        </w:rPr>
      </w:pPr>
    </w:p>
    <w:tbl>
      <w:tblPr>
        <w:tblStyle w:val="24"/>
        <w:tblW w:w="96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
        <w:gridCol w:w="1631"/>
        <w:gridCol w:w="8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trPr>
        <w:tc>
          <w:tcPr>
            <w:tcW w:w="1637" w:type="dxa"/>
            <w:gridSpan w:val="2"/>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标的提供的时间</w:t>
            </w:r>
          </w:p>
        </w:tc>
        <w:tc>
          <w:tcPr>
            <w:tcW w:w="80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合同签订后60日内完成交货、安装并通电。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637" w:type="dxa"/>
            <w:gridSpan w:val="2"/>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标的提供的地点</w:t>
            </w:r>
          </w:p>
        </w:tc>
        <w:tc>
          <w:tcPr>
            <w:tcW w:w="80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637" w:type="dxa"/>
            <w:gridSpan w:val="2"/>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响应有效期</w:t>
            </w:r>
          </w:p>
        </w:tc>
        <w:tc>
          <w:tcPr>
            <w:tcW w:w="80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从提交投标（响应）文件的截止之日起90日历天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637" w:type="dxa"/>
            <w:gridSpan w:val="2"/>
            <w:vAlign w:val="center"/>
          </w:tcPr>
          <w:p>
            <w:pPr>
              <w:bidi w:val="0"/>
              <w:jc w:val="center"/>
              <w:rPr>
                <w:rFonts w:hint="eastAsia" w:ascii="宋体" w:hAnsi="宋体" w:eastAsia="宋体" w:cs="宋体"/>
                <w:color w:val="auto"/>
                <w:sz w:val="21"/>
                <w:szCs w:val="21"/>
                <w:highlight w:val="none"/>
              </w:rPr>
            </w:pPr>
          </w:p>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80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1、支付比例30%，合同签订后7个工作日内支付合同总价30%的预付款。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2、支付比例60%，项目完工后7个工作日支付合同总价60%的到货款。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3、支付比例7%，安装调试验收合格、使用登记证后7个工作日支付合同总价7%的验收款。</w:t>
            </w:r>
          </w:p>
          <w:p>
            <w:pPr>
              <w:pStyle w:val="11"/>
              <w:ind w:left="0" w:leftChars="0" w:firstLine="0" w:firstLineChars="0"/>
              <w:rPr>
                <w:rFonts w:hint="default"/>
                <w:color w:val="auto"/>
                <w:highlight w:val="none"/>
                <w:lang w:val="en-US" w:eastAsia="zh-CN"/>
              </w:rPr>
            </w:pPr>
            <w:r>
              <w:rPr>
                <w:rFonts w:hint="eastAsia" w:ascii="宋体" w:hAnsi="宋体" w:eastAsia="宋体" w:cs="宋体"/>
                <w:color w:val="auto"/>
                <w:highlight w:val="none"/>
                <w:lang w:val="en-US" w:eastAsia="zh-CN"/>
              </w:rPr>
              <w:t>4、</w:t>
            </w:r>
            <w:r>
              <w:rPr>
                <w:rFonts w:hint="eastAsia" w:hAnsi="宋体"/>
                <w:color w:val="auto"/>
                <w:szCs w:val="21"/>
                <w:highlight w:val="none"/>
              </w:rPr>
              <w:t>合同价款的3％</w:t>
            </w:r>
            <w:r>
              <w:rPr>
                <w:rFonts w:hint="eastAsia" w:hAnsi="宋体" w:eastAsia="宋体"/>
                <w:color w:val="auto"/>
                <w:szCs w:val="21"/>
                <w:highlight w:val="none"/>
                <w:lang w:val="en-US" w:eastAsia="zh-CN"/>
              </w:rPr>
              <w:t>为</w:t>
            </w:r>
            <w:r>
              <w:rPr>
                <w:rFonts w:hint="eastAsia" w:hAnsi="宋体"/>
                <w:color w:val="auto"/>
                <w:szCs w:val="21"/>
                <w:highlight w:val="none"/>
              </w:rPr>
              <w:t>质量保证金</w:t>
            </w:r>
            <w:r>
              <w:rPr>
                <w:rFonts w:hint="eastAsia" w:hAnsi="宋体" w:eastAsia="宋体"/>
                <w:color w:val="auto"/>
                <w:szCs w:val="21"/>
                <w:highlight w:val="none"/>
                <w:lang w:eastAsia="zh-CN"/>
              </w:rPr>
              <w:t>，</w:t>
            </w:r>
            <w:r>
              <w:rPr>
                <w:rFonts w:hint="eastAsia" w:hAnsi="宋体" w:eastAsia="宋体"/>
                <w:color w:val="auto"/>
                <w:szCs w:val="21"/>
                <w:highlight w:val="none"/>
                <w:lang w:val="en-US" w:eastAsia="zh-CN"/>
              </w:rPr>
              <w:t>合同</w:t>
            </w:r>
            <w:r>
              <w:rPr>
                <w:rFonts w:hint="eastAsia" w:hAnsi="宋体"/>
                <w:color w:val="auto"/>
                <w:szCs w:val="21"/>
                <w:highlight w:val="none"/>
              </w:rPr>
              <w:t>条款约定的缺陷责任期终止后的14天内，发包人应将剩余的质量保证金返还给承包人。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对于满足合同约定支付条件的，采购人应当自收到发票且符合合同约定的支付条件后30日内将资金支付到合同约定的中标单位指定账户，不得以机构变动、人员更替、政策调整等为由延迟付款，不得将采购文件和合同中未规定的义务作为向中标单位付款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hRule="atLeast"/>
        </w:trPr>
        <w:tc>
          <w:tcPr>
            <w:tcW w:w="1637" w:type="dxa"/>
            <w:gridSpan w:val="2"/>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报价内容及要求</w:t>
            </w:r>
          </w:p>
        </w:tc>
        <w:tc>
          <w:tcPr>
            <w:tcW w:w="80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1、投标人应报货交招标人指定地点/仓库（包括安装至指定位置）人民币含税总价，并按开标一览表及投标明细报价表进行明细报价；投标报价超出最高限价做无效标处理。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2、报价应包括但不限于采购费、施工费、运输费、人工费、保险费、各种税费、资料费、验收费、售后服务费及合同实施过程中的不可预见费用等全部费用 (含一切必须的辅助材料费用)。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3、合同总价包括国家规定的所有税费及与项目相关的所有费用。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4、投标报价应以人民币为结算单位。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4" w:hRule="atLeast"/>
        </w:trPr>
        <w:tc>
          <w:tcPr>
            <w:tcW w:w="1637" w:type="dxa"/>
            <w:gridSpan w:val="2"/>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80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eastAsia="宋体"/>
                <w:color w:val="auto"/>
                <w:sz w:val="21"/>
                <w:szCs w:val="21"/>
                <w:highlight w:val="none"/>
                <w:lang w:val="en-US" w:eastAsia="zh-CN"/>
              </w:rPr>
              <w:t>(1)依投标文件要求对全部货物、产品、型号、规格、数量、外型、外观、包装及资料、文件(如装箱单、保修单、随箱介质等)的验收。投标供应商必须为采购人设计、安装、调试、维修、使用提供足够的技术资料和技术保障，提供设备的有关证明。(2)拆箱后，应对其全部产品、零件、配件、用户许可证书、资料、介质进行登记，并与装箱单对比，如有出入应立即书面记录，由中标供应商解决，如影响安装则按合同有关条款处理。设备到达最终用户现场后，在接到采购人通知后，中标供应商需安排有经验的工程技术人员到采购人现场安装、调试设备，按验收指标逐项测试，直至达到验收要求。(3)如商检或设备测试中发现设备性能指标或功能上不符合招标文件和合同要求时，将被看作性能不合格，采购人有权拒收并要求赔偿。(4)验收时中标供应商负责将全部有关技术文件、资料、安装、测试、验收报告等到文档汇集成册交付采购人。(5)中标供应商所提供的货物出现更新换代、停产的，中标供应商须提供由制造商出具的停产证明，在不降低原中标货物质量或配置(规格)、原中标价格不变的前提下，经采购人同意后，可以提供原中标货物的替代货物，替代货物需经采购人组织相关技术人员进行鉴定，确定其性能、质量等不低于原中标货物，并与采购人签订设备变更协议为合同的附件，否则按违约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63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w:t>
            </w:r>
          </w:p>
        </w:tc>
        <w:tc>
          <w:tcPr>
            <w:tcW w:w="80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1750" w:hRule="atLeast"/>
        </w:trPr>
        <w:tc>
          <w:tcPr>
            <w:tcW w:w="1631" w:type="dxa"/>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80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highlight w:val="none"/>
                <w:lang w:val="en-US" w:eastAsia="zh-CN"/>
              </w:rPr>
            </w:pPr>
            <w:r>
              <w:rPr>
                <w:rFonts w:hint="eastAsia"/>
                <w:color w:val="auto"/>
                <w:highlight w:val="none"/>
                <w:lang w:val="en-US" w:eastAsia="zh-CN"/>
              </w:rPr>
              <w:t>1.设备一般要求，(1)投标供应商所投设备必须是制造商原装、全新、未使用过的产品，产品符合国家及该产品的出厂标准及相关认证规定，在中国范围内合法销售的产品。(2)货物外观清洁，标记编号以及盘面显示等字体清晰、明确。(3)产品包装均应有良好的防湿、防锈、防潮、防雨、防腐及防碰撞的措施，凡由于包装不良好造成的损失和由此产生的费用均由中标供应商承担。(4)投标供应商必须确保货物及所有配套件的完整性。对于招标文件没有列出，而对货物的正常运行和维护必不可少的且应属于货物配带的部件、配件等，投标供应商有责任给予补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color w:val="auto"/>
                <w:highlight w:val="none"/>
                <w:lang w:val="en-US" w:eastAsia="zh-CN"/>
              </w:rPr>
              <w:t>2.售后服务要求，(1)所有设备保证在交付采购人安装调试验收合格之日起免费质保期不低于1年，保修内容按生产厂家的保修规定进行保修，在免费保修期结束后，须继续提供维护和维修服务。(2)中标供应商设有固定的维修服务机构，以满足采购人要求，提供24小时的全方位技术支持和售后服务。所供设备须按厂家承诺实行“三包”，若发现本次采购的设备本身存在缺陷，中标供应商须无条件退货或更换同类产品。(3)在保用的期限内，本次采购的设备出现非采购人责任造成的故障的，中标供应商无偿为采购人维修或更换相应设备，并保证采购人的正常使用。响应时间：采购人反馈产品质量、故障、事故问题时，1小时内予以响应，需到现场维修时，4小时内到达现场维修，一般情况在24小时内须排除故障，特殊情况需与采购人说明情况，并提供代用设备，保证采购人的正常工作使用。(4)中标供应商须为采购人进行相关操作及安装调试工作。(5)中标供应商应提供包括但不限于满足货物安装、使用和维护的技术文件，如货物和附件装箱清单、质量合格检定证明文件、保修服务卡、使用说明(原版正本)和中文维护手册。(6)在保质期满后，中标供应商须保证以合理优惠的价格提供备件和保养服务。</w:t>
            </w: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rPr>
          <w:rFonts w:hint="eastAsia" w:ascii="宋体" w:hAnsi="宋体" w:eastAsia="宋体" w:cs="宋体"/>
          <w:color w:val="auto"/>
          <w:highlight w:val="none"/>
        </w:rPr>
      </w:pPr>
      <w:bookmarkStart w:id="36" w:name="_Toc13090"/>
      <w:bookmarkStart w:id="37" w:name="_Toc19021"/>
      <w:r>
        <w:rPr>
          <w:rFonts w:hint="eastAsia" w:ascii="宋体" w:hAnsi="宋体" w:eastAsia="宋体" w:cs="宋体"/>
          <w:color w:val="auto"/>
          <w:highlight w:val="none"/>
        </w:rPr>
        <w:t>2.技术标准与要求</w:t>
      </w:r>
      <w:bookmarkEnd w:id="36"/>
      <w:bookmarkEnd w:id="37"/>
    </w:p>
    <w:tbl>
      <w:tblPr>
        <w:tblStyle w:val="24"/>
        <w:tblW w:w="9603"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8"/>
        <w:gridCol w:w="578"/>
        <w:gridCol w:w="1156"/>
        <w:gridCol w:w="1770"/>
        <w:gridCol w:w="505"/>
        <w:gridCol w:w="762"/>
        <w:gridCol w:w="1389"/>
        <w:gridCol w:w="1340"/>
        <w:gridCol w:w="1107"/>
        <w:gridCol w:w="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18" w:type="dxa"/>
            <w:shd w:val="clear" w:color="auto" w:fill="F5F5F5"/>
            <w:vAlign w:val="center"/>
          </w:tcPr>
          <w:p>
            <w:pPr>
              <w:bidi w:val="0"/>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578" w:type="dxa"/>
            <w:shd w:val="clear" w:color="auto" w:fill="F5F5F5"/>
            <w:vAlign w:val="center"/>
          </w:tcPr>
          <w:p>
            <w:pPr>
              <w:bidi w:val="0"/>
              <w:rPr>
                <w:rFonts w:hint="eastAsia" w:ascii="宋体" w:hAnsi="宋体" w:eastAsia="宋体" w:cs="宋体"/>
                <w:color w:val="auto"/>
                <w:highlight w:val="none"/>
              </w:rPr>
            </w:pPr>
            <w:r>
              <w:rPr>
                <w:rFonts w:hint="eastAsia" w:ascii="宋体" w:hAnsi="宋体" w:eastAsia="宋体" w:cs="宋体"/>
                <w:color w:val="auto"/>
                <w:highlight w:val="none"/>
              </w:rPr>
              <w:t>核心</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产品</w:t>
            </w:r>
          </w:p>
          <w:p>
            <w:pPr>
              <w:bidi w:val="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w:t>
            </w:r>
          </w:p>
          <w:p>
            <w:pPr>
              <w:bidi w:val="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56" w:type="dxa"/>
            <w:shd w:val="clear" w:color="auto" w:fill="F5F5F5"/>
            <w:vAlign w:val="center"/>
          </w:tcPr>
          <w:p>
            <w:pPr>
              <w:bidi w:val="0"/>
              <w:rPr>
                <w:rFonts w:hint="eastAsia" w:ascii="宋体" w:hAnsi="宋体" w:eastAsia="宋体" w:cs="宋体"/>
                <w:color w:val="auto"/>
                <w:highlight w:val="none"/>
              </w:rPr>
            </w:pPr>
            <w:r>
              <w:rPr>
                <w:rFonts w:hint="eastAsia" w:ascii="宋体" w:hAnsi="宋体" w:eastAsia="宋体" w:cs="宋体"/>
                <w:color w:val="auto"/>
                <w:highlight w:val="none"/>
              </w:rPr>
              <w:t>品目名称</w:t>
            </w:r>
          </w:p>
        </w:tc>
        <w:tc>
          <w:tcPr>
            <w:tcW w:w="1770" w:type="dxa"/>
            <w:shd w:val="clear" w:color="auto" w:fill="F5F5F5"/>
            <w:vAlign w:val="center"/>
          </w:tcPr>
          <w:p>
            <w:pPr>
              <w:bidi w:val="0"/>
              <w:rPr>
                <w:rFonts w:hint="eastAsia" w:ascii="宋体" w:hAnsi="宋体" w:eastAsia="宋体" w:cs="宋体"/>
                <w:color w:val="auto"/>
                <w:highlight w:val="none"/>
              </w:rPr>
            </w:pPr>
            <w:r>
              <w:rPr>
                <w:rFonts w:hint="eastAsia" w:ascii="宋体" w:hAnsi="宋体" w:eastAsia="宋体" w:cs="宋体"/>
                <w:color w:val="auto"/>
                <w:highlight w:val="none"/>
              </w:rPr>
              <w:t>标的名称</w:t>
            </w:r>
          </w:p>
        </w:tc>
        <w:tc>
          <w:tcPr>
            <w:tcW w:w="505" w:type="dxa"/>
            <w:shd w:val="clear" w:color="auto" w:fill="F5F5F5"/>
            <w:vAlign w:val="center"/>
          </w:tcPr>
          <w:p>
            <w:pPr>
              <w:bidi w:val="0"/>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762" w:type="dxa"/>
            <w:shd w:val="clear" w:color="auto" w:fill="F5F5F5"/>
            <w:vAlign w:val="center"/>
          </w:tcPr>
          <w:p>
            <w:pPr>
              <w:bidi w:val="0"/>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389" w:type="dxa"/>
            <w:shd w:val="clear" w:color="auto" w:fill="F5F5F5"/>
            <w:vAlign w:val="center"/>
          </w:tcPr>
          <w:p>
            <w:pPr>
              <w:bidi w:val="0"/>
              <w:rPr>
                <w:rFonts w:hint="eastAsia" w:ascii="宋体" w:hAnsi="宋体" w:eastAsia="宋体" w:cs="宋体"/>
                <w:color w:val="auto"/>
                <w:highlight w:val="none"/>
              </w:rPr>
            </w:pPr>
            <w:r>
              <w:rPr>
                <w:rFonts w:hint="eastAsia" w:ascii="宋体" w:hAnsi="宋体" w:eastAsia="宋体" w:cs="宋体"/>
                <w:color w:val="auto"/>
                <w:highlight w:val="none"/>
              </w:rPr>
              <w:t>分项预算单价</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340" w:type="dxa"/>
            <w:shd w:val="clear" w:color="auto" w:fill="F5F5F5"/>
            <w:vAlign w:val="center"/>
          </w:tcPr>
          <w:p>
            <w:pPr>
              <w:bidi w:val="0"/>
              <w:rPr>
                <w:rFonts w:hint="eastAsia" w:ascii="宋体" w:hAnsi="宋体" w:eastAsia="宋体" w:cs="宋体"/>
                <w:color w:val="auto"/>
                <w:highlight w:val="none"/>
              </w:rPr>
            </w:pPr>
            <w:r>
              <w:rPr>
                <w:rFonts w:hint="eastAsia" w:ascii="宋体" w:hAnsi="宋体" w:eastAsia="宋体" w:cs="宋体"/>
                <w:color w:val="auto"/>
                <w:highlight w:val="none"/>
              </w:rPr>
              <w:t>分项预算总价</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107" w:type="dxa"/>
            <w:shd w:val="clear" w:color="auto" w:fill="F5F5F5"/>
            <w:vAlign w:val="center"/>
          </w:tcPr>
          <w:p>
            <w:pPr>
              <w:bidi w:val="0"/>
              <w:rPr>
                <w:rFonts w:hint="eastAsia" w:ascii="宋体" w:hAnsi="宋体" w:eastAsia="宋体" w:cs="宋体"/>
                <w:color w:val="auto"/>
                <w:highlight w:val="none"/>
              </w:rPr>
            </w:pPr>
            <w:r>
              <w:rPr>
                <w:rFonts w:hint="eastAsia" w:ascii="宋体" w:hAnsi="宋体" w:eastAsia="宋体" w:cs="宋体"/>
                <w:color w:val="auto"/>
                <w:highlight w:val="none"/>
              </w:rPr>
              <w:t>所属行业</w:t>
            </w:r>
          </w:p>
        </w:tc>
        <w:tc>
          <w:tcPr>
            <w:tcW w:w="578" w:type="dxa"/>
            <w:shd w:val="clear" w:color="auto" w:fill="F5F5F5"/>
            <w:vAlign w:val="center"/>
          </w:tcPr>
          <w:p>
            <w:pPr>
              <w:bidi w:val="0"/>
              <w:rPr>
                <w:rFonts w:hint="eastAsia" w:ascii="宋体" w:hAnsi="宋体" w:eastAsia="宋体" w:cs="宋体"/>
                <w:color w:val="auto"/>
                <w:highlight w:val="none"/>
              </w:rPr>
            </w:pPr>
            <w:r>
              <w:rPr>
                <w:rFonts w:hint="eastAsia" w:ascii="宋体" w:hAnsi="宋体" w:eastAsia="宋体" w:cs="宋体"/>
                <w:color w:val="auto"/>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418" w:type="dxa"/>
            <w:vAlign w:val="center"/>
          </w:tcPr>
          <w:p>
            <w:pPr>
              <w:bidi w:val="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78" w:type="dxa"/>
            <w:vAlign w:val="center"/>
          </w:tcPr>
          <w:p>
            <w:pPr>
              <w:bidi w:val="0"/>
              <w:rPr>
                <w:rFonts w:hint="eastAsia" w:ascii="宋体" w:hAnsi="宋体" w:eastAsia="宋体" w:cs="宋体"/>
                <w:color w:val="auto"/>
                <w:highlight w:val="none"/>
              </w:rPr>
            </w:pPr>
          </w:p>
        </w:tc>
        <w:tc>
          <w:tcPr>
            <w:tcW w:w="1156"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其他电力工业设备</w:t>
            </w:r>
          </w:p>
        </w:tc>
        <w:tc>
          <w:tcPr>
            <w:tcW w:w="1770" w:type="dxa"/>
            <w:vAlign w:val="center"/>
          </w:tcPr>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石龙坑石河西十七巷新建拆迁安置房项目-新增400kVA箱变电站</w:t>
            </w:r>
          </w:p>
        </w:tc>
        <w:tc>
          <w:tcPr>
            <w:tcW w:w="505" w:type="dxa"/>
            <w:vAlign w:val="center"/>
          </w:tcPr>
          <w:p>
            <w:pPr>
              <w:bidi w:val="0"/>
              <w:rPr>
                <w:rFonts w:hint="eastAsia" w:ascii="宋体" w:hAnsi="宋体" w:eastAsia="宋体" w:cs="宋体"/>
                <w:color w:val="auto"/>
                <w:highlight w:val="none"/>
              </w:rPr>
            </w:pPr>
            <w:r>
              <w:rPr>
                <w:rFonts w:hint="eastAsia" w:ascii="宋体" w:hAnsi="宋体" w:eastAsia="宋体" w:cs="宋体"/>
                <w:color w:val="auto"/>
                <w:highlight w:val="none"/>
              </w:rPr>
              <w:t>项</w:t>
            </w:r>
          </w:p>
        </w:tc>
        <w:tc>
          <w:tcPr>
            <w:tcW w:w="762" w:type="dxa"/>
            <w:vAlign w:val="center"/>
          </w:tcPr>
          <w:p>
            <w:pPr>
              <w:bidi w:val="0"/>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1389" w:type="dxa"/>
            <w:vAlign w:val="center"/>
          </w:tcPr>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424039.65</w:t>
            </w:r>
          </w:p>
        </w:tc>
        <w:tc>
          <w:tcPr>
            <w:tcW w:w="1340" w:type="dxa"/>
            <w:vAlign w:val="center"/>
          </w:tcPr>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424039.65</w:t>
            </w:r>
          </w:p>
        </w:tc>
        <w:tc>
          <w:tcPr>
            <w:tcW w:w="1107"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工业</w:t>
            </w:r>
          </w:p>
        </w:tc>
        <w:tc>
          <w:tcPr>
            <w:tcW w:w="578" w:type="dxa"/>
            <w:textDirection w:val="tbRlV"/>
            <w:vAlign w:val="center"/>
          </w:tcPr>
          <w:p>
            <w:pPr>
              <w:bidi w:val="0"/>
              <w:rPr>
                <w:rFonts w:hint="eastAsia" w:ascii="宋体" w:hAnsi="宋体" w:eastAsia="宋体" w:cs="宋体"/>
                <w:color w:val="auto"/>
                <w:highlight w:val="none"/>
              </w:rPr>
            </w:pPr>
            <w:r>
              <w:rPr>
                <w:rFonts w:hint="eastAsia" w:ascii="宋体" w:hAnsi="宋体" w:eastAsia="宋体" w:cs="宋体"/>
                <w:color w:val="auto"/>
                <w:highlight w:val="none"/>
              </w:rPr>
              <w:t>详见附表一</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0" w:firstLineChars="4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注：若存在多项核心产品，当不同供应商提供的任意一项核心产品的品牌相同，则视同其是所响应核心产品品牌相同供应商。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附表一：</w:t>
      </w:r>
      <w:r>
        <w:rPr>
          <w:rFonts w:hint="eastAsia" w:ascii="宋体" w:hAnsi="宋体" w:eastAsia="宋体" w:cs="宋体"/>
          <w:color w:val="auto"/>
          <w:highlight w:val="none"/>
          <w:lang w:eastAsia="zh-CN"/>
        </w:rPr>
        <w:t>石龙坑石河西十七巷新建拆迁安置房项目-新增400kVA箱变电站</w:t>
      </w:r>
    </w:p>
    <w:p>
      <w:pPr>
        <w:spacing w:line="201" w:lineRule="exact"/>
        <w:rPr>
          <w:rFonts w:hint="eastAsia" w:ascii="宋体" w:hAnsi="宋体" w:eastAsia="宋体" w:cs="宋体"/>
          <w:color w:val="auto"/>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738"/>
        <w:gridCol w:w="7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pPr>
              <w:pStyle w:val="22"/>
              <w:keepNext w:val="0"/>
              <w:keepLines w:val="0"/>
              <w:pageBreakBefore w:val="0"/>
              <w:widowControl w:val="0"/>
              <w:numPr>
                <w:ilvl w:val="0"/>
                <w:numId w:val="0"/>
              </w:numPr>
              <w:kinsoku/>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1"/>
                <w:sz w:val="21"/>
                <w:szCs w:val="21"/>
                <w:highlight w:val="none"/>
              </w:rPr>
              <w:t>参数性</w:t>
            </w:r>
            <w:r>
              <w:rPr>
                <w:rFonts w:hint="eastAsia" w:ascii="宋体" w:hAnsi="宋体" w:eastAsia="宋体" w:cs="宋体"/>
                <w:color w:val="auto"/>
                <w:sz w:val="21"/>
                <w:szCs w:val="21"/>
                <w:highlight w:val="none"/>
              </w:rPr>
              <w:t>质</w:t>
            </w:r>
          </w:p>
        </w:tc>
        <w:tc>
          <w:tcPr>
            <w:tcW w:w="738" w:type="dxa"/>
          </w:tcPr>
          <w:p>
            <w:pPr>
              <w:pStyle w:val="22"/>
              <w:keepNext w:val="0"/>
              <w:keepLines w:val="0"/>
              <w:pageBreakBefore w:val="0"/>
              <w:widowControl w:val="0"/>
              <w:numPr>
                <w:ilvl w:val="0"/>
                <w:numId w:val="0"/>
              </w:numPr>
              <w:kinsoku/>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3"/>
                <w:sz w:val="21"/>
                <w:szCs w:val="21"/>
                <w:highlight w:val="none"/>
              </w:rPr>
              <w:t>序</w:t>
            </w:r>
            <w:r>
              <w:rPr>
                <w:rFonts w:hint="eastAsia" w:ascii="宋体" w:hAnsi="宋体" w:eastAsia="宋体" w:cs="宋体"/>
                <w:color w:val="auto"/>
                <w:spacing w:val="-2"/>
                <w:sz w:val="21"/>
                <w:szCs w:val="21"/>
                <w:highlight w:val="none"/>
              </w:rPr>
              <w:t>号</w:t>
            </w:r>
          </w:p>
        </w:tc>
        <w:tc>
          <w:tcPr>
            <w:tcW w:w="7846" w:type="dxa"/>
          </w:tcPr>
          <w:p>
            <w:pPr>
              <w:pStyle w:val="22"/>
              <w:keepNext w:val="0"/>
              <w:keepLines w:val="0"/>
              <w:pageBreakBefore w:val="0"/>
              <w:widowControl w:val="0"/>
              <w:numPr>
                <w:ilvl w:val="0"/>
                <w:numId w:val="0"/>
              </w:numPr>
              <w:kinsoku/>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4"/>
                <w:position w:val="3"/>
                <w:sz w:val="21"/>
                <w:szCs w:val="21"/>
                <w:highlight w:val="none"/>
              </w:rPr>
              <w:t>具体</w:t>
            </w:r>
            <w:r>
              <w:rPr>
                <w:rFonts w:hint="eastAsia" w:ascii="宋体" w:hAnsi="宋体" w:eastAsia="宋体" w:cs="宋体"/>
                <w:color w:val="auto"/>
                <w:spacing w:val="2"/>
                <w:position w:val="3"/>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pStyle w:val="22"/>
              <w:keepNext w:val="0"/>
              <w:keepLines w:val="0"/>
              <w:pageBreakBefore w:val="0"/>
              <w:widowControl w:val="0"/>
              <w:numPr>
                <w:ilvl w:val="0"/>
                <w:numId w:val="0"/>
              </w:numPr>
              <w:kinsoku/>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p>
        </w:tc>
        <w:tc>
          <w:tcPr>
            <w:tcW w:w="738" w:type="dxa"/>
            <w:vAlign w:val="center"/>
          </w:tcPr>
          <w:p>
            <w:pPr>
              <w:pStyle w:val="22"/>
              <w:keepNext w:val="0"/>
              <w:keepLines w:val="0"/>
              <w:pageBreakBefore w:val="0"/>
              <w:widowControl w:val="0"/>
              <w:numPr>
                <w:ilvl w:val="0"/>
                <w:numId w:val="0"/>
              </w:numPr>
              <w:kinsoku/>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7846" w:type="dxa"/>
            <w:vAlign w:val="center"/>
          </w:tcPr>
          <w:p>
            <w:pPr>
              <w:pStyle w:val="22"/>
              <w:keepNext w:val="0"/>
              <w:keepLines w:val="0"/>
              <w:pageBreakBefore w:val="0"/>
              <w:widowControl w:val="0"/>
              <w:numPr>
                <w:ilvl w:val="0"/>
                <w:numId w:val="0"/>
              </w:numPr>
              <w:kinsoku/>
              <w:overflowPunct/>
              <w:topLinePunct w:val="0"/>
              <w:autoSpaceDE/>
              <w:autoSpaceDN/>
              <w:bidi w:val="0"/>
              <w:adjustRightInd/>
              <w:snapToGrid/>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一、项目技术内容及要求：</w:t>
            </w:r>
          </w:p>
          <w:p>
            <w:pPr>
              <w:pStyle w:val="22"/>
              <w:keepNext w:val="0"/>
              <w:keepLines w:val="0"/>
              <w:pageBreakBefore w:val="0"/>
              <w:widowControl w:val="0"/>
              <w:numPr>
                <w:ilvl w:val="0"/>
                <w:numId w:val="0"/>
              </w:numPr>
              <w:kinsoku/>
              <w:overflowPunct/>
              <w:topLinePunct w:val="0"/>
              <w:autoSpaceDE/>
              <w:autoSpaceDN/>
              <w:bidi w:val="0"/>
              <w:adjustRightInd/>
              <w:snapToGrid/>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(一)项目需求一览表：</w:t>
            </w:r>
          </w:p>
          <w:tbl>
            <w:tblPr>
              <w:tblStyle w:val="24"/>
              <w:tblpPr w:leftFromText="180" w:rightFromText="180" w:vertAnchor="text" w:horzAnchor="page" w:tblpXSpec="center" w:tblpY="753"/>
              <w:tblOverlap w:val="never"/>
              <w:tblW w:w="75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1"/>
              <w:gridCol w:w="1573"/>
              <w:gridCol w:w="1"/>
              <w:gridCol w:w="3317"/>
              <w:gridCol w:w="1"/>
              <w:gridCol w:w="627"/>
              <w:gridCol w:w="1"/>
              <w:gridCol w:w="1109"/>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946" w:type="dxa"/>
                  <w:gridSpan w:val="2"/>
                  <w:vMerge w:val="restart"/>
                  <w:tcBorders>
                    <w:left w:val="single" w:color="000000" w:sz="8" w:space="0"/>
                    <w:bottom w:val="nil"/>
                    <w:right w:val="single" w:color="000000" w:sz="6" w:space="0"/>
                  </w:tcBorders>
                  <w:vAlign w:val="top"/>
                </w:tcPr>
                <w:p>
                  <w:pPr>
                    <w:spacing w:line="394" w:lineRule="auto"/>
                    <w:rPr>
                      <w:rFonts w:ascii="Arial"/>
                      <w:color w:val="auto"/>
                      <w:sz w:val="21"/>
                      <w:highlight w:val="none"/>
                    </w:rPr>
                  </w:pPr>
                </w:p>
                <w:p>
                  <w:pPr>
                    <w:spacing w:before="62" w:line="230" w:lineRule="auto"/>
                    <w:ind w:left="181"/>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序号</w:t>
                  </w:r>
                </w:p>
              </w:tc>
              <w:tc>
                <w:tcPr>
                  <w:tcW w:w="1574" w:type="dxa"/>
                  <w:gridSpan w:val="2"/>
                  <w:vMerge w:val="restart"/>
                  <w:tcBorders>
                    <w:left w:val="single" w:color="000000" w:sz="6" w:space="0"/>
                    <w:bottom w:val="nil"/>
                    <w:right w:val="single" w:color="000000" w:sz="6" w:space="0"/>
                  </w:tcBorders>
                  <w:vAlign w:val="top"/>
                </w:tcPr>
                <w:p>
                  <w:pPr>
                    <w:spacing w:line="393" w:lineRule="auto"/>
                    <w:rPr>
                      <w:rFonts w:ascii="Arial"/>
                      <w:color w:val="auto"/>
                      <w:sz w:val="21"/>
                      <w:highlight w:val="none"/>
                    </w:rPr>
                  </w:pPr>
                </w:p>
                <w:p>
                  <w:pPr>
                    <w:spacing w:before="62" w:line="230" w:lineRule="auto"/>
                    <w:ind w:left="251"/>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项目名</w:t>
                  </w:r>
                  <w:r>
                    <w:rPr>
                      <w:rFonts w:ascii="宋体" w:hAnsi="宋体" w:eastAsia="宋体" w:cs="宋体"/>
                      <w:color w:val="auto"/>
                      <w:spacing w:val="2"/>
                      <w:sz w:val="19"/>
                      <w:szCs w:val="19"/>
                      <w:highlight w:val="none"/>
                    </w:rPr>
                    <w:t>称</w:t>
                  </w:r>
                </w:p>
              </w:tc>
              <w:tc>
                <w:tcPr>
                  <w:tcW w:w="3318" w:type="dxa"/>
                  <w:gridSpan w:val="2"/>
                  <w:vMerge w:val="restart"/>
                  <w:tcBorders>
                    <w:left w:val="single" w:color="000000" w:sz="6" w:space="0"/>
                    <w:bottom w:val="nil"/>
                    <w:right w:val="single" w:color="000000" w:sz="6" w:space="0"/>
                  </w:tcBorders>
                  <w:vAlign w:val="top"/>
                </w:tcPr>
                <w:p>
                  <w:pPr>
                    <w:spacing w:line="393" w:lineRule="auto"/>
                    <w:rPr>
                      <w:rFonts w:ascii="Arial"/>
                      <w:color w:val="auto"/>
                      <w:sz w:val="21"/>
                      <w:highlight w:val="none"/>
                    </w:rPr>
                  </w:pPr>
                </w:p>
                <w:p>
                  <w:pPr>
                    <w:spacing w:before="62" w:line="229" w:lineRule="auto"/>
                    <w:ind w:left="763"/>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项</w:t>
                  </w:r>
                  <w:r>
                    <w:rPr>
                      <w:rFonts w:ascii="宋体" w:hAnsi="宋体" w:eastAsia="宋体" w:cs="宋体"/>
                      <w:color w:val="auto"/>
                      <w:spacing w:val="3"/>
                      <w:sz w:val="19"/>
                      <w:szCs w:val="19"/>
                      <w:highlight w:val="none"/>
                    </w:rPr>
                    <w:t>目特征描述</w:t>
                  </w:r>
                </w:p>
              </w:tc>
              <w:tc>
                <w:tcPr>
                  <w:tcW w:w="628" w:type="dxa"/>
                  <w:gridSpan w:val="2"/>
                  <w:vMerge w:val="restart"/>
                  <w:tcBorders>
                    <w:left w:val="single" w:color="000000" w:sz="6" w:space="0"/>
                    <w:bottom w:val="nil"/>
                    <w:right w:val="single" w:color="000000" w:sz="6" w:space="0"/>
                  </w:tcBorders>
                  <w:vAlign w:val="top"/>
                </w:tcPr>
                <w:p>
                  <w:pPr>
                    <w:spacing w:line="305" w:lineRule="auto"/>
                    <w:rPr>
                      <w:rFonts w:ascii="Arial"/>
                      <w:color w:val="auto"/>
                      <w:sz w:val="21"/>
                      <w:highlight w:val="none"/>
                    </w:rPr>
                  </w:pPr>
                </w:p>
                <w:p>
                  <w:pPr>
                    <w:spacing w:before="62" w:line="209" w:lineRule="auto"/>
                    <w:ind w:left="63" w:right="43" w:hanging="1"/>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计量</w:t>
                  </w:r>
                  <w:r>
                    <w:rPr>
                      <w:rFonts w:ascii="宋体" w:hAnsi="宋体" w:eastAsia="宋体" w:cs="宋体"/>
                      <w:color w:val="auto"/>
                      <w:sz w:val="19"/>
                      <w:szCs w:val="19"/>
                      <w:highlight w:val="none"/>
                    </w:rPr>
                    <w:t xml:space="preserve"> </w:t>
                  </w:r>
                  <w:r>
                    <w:rPr>
                      <w:rFonts w:ascii="宋体" w:hAnsi="宋体" w:eastAsia="宋体" w:cs="宋体"/>
                      <w:color w:val="auto"/>
                      <w:spacing w:val="2"/>
                      <w:sz w:val="19"/>
                      <w:szCs w:val="19"/>
                      <w:highlight w:val="none"/>
                    </w:rPr>
                    <w:t>单位</w:t>
                  </w:r>
                </w:p>
              </w:tc>
              <w:tc>
                <w:tcPr>
                  <w:tcW w:w="1110" w:type="dxa"/>
                  <w:gridSpan w:val="2"/>
                  <w:vMerge w:val="restart"/>
                  <w:tcBorders>
                    <w:left w:val="single" w:color="000000" w:sz="6" w:space="0"/>
                    <w:bottom w:val="nil"/>
                    <w:right w:val="single" w:color="000000" w:sz="6" w:space="0"/>
                  </w:tcBorders>
                  <w:vAlign w:val="top"/>
                </w:tcPr>
                <w:p>
                  <w:pPr>
                    <w:spacing w:line="393" w:lineRule="auto"/>
                    <w:rPr>
                      <w:rFonts w:ascii="Arial"/>
                      <w:color w:val="auto"/>
                      <w:sz w:val="21"/>
                      <w:highlight w:val="none"/>
                    </w:rPr>
                  </w:pPr>
                </w:p>
                <w:p>
                  <w:pPr>
                    <w:spacing w:before="62" w:line="230" w:lineRule="auto"/>
                    <w:ind w:left="171"/>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工</w:t>
                  </w:r>
                  <w:r>
                    <w:rPr>
                      <w:rFonts w:ascii="宋体" w:hAnsi="宋体" w:eastAsia="宋体" w:cs="宋体"/>
                      <w:color w:val="auto"/>
                      <w:spacing w:val="2"/>
                      <w:sz w:val="19"/>
                      <w:szCs w:val="19"/>
                      <w:highlight w:val="none"/>
                    </w:rPr>
                    <w:t>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946" w:type="dxa"/>
                  <w:gridSpan w:val="2"/>
                  <w:vMerge w:val="continue"/>
                  <w:tcBorders>
                    <w:top w:val="nil"/>
                    <w:left w:val="single" w:color="000000" w:sz="8" w:space="0"/>
                    <w:bottom w:val="nil"/>
                    <w:right w:val="single" w:color="000000" w:sz="6" w:space="0"/>
                  </w:tcBorders>
                  <w:vAlign w:val="top"/>
                </w:tcPr>
                <w:p>
                  <w:pPr>
                    <w:rPr>
                      <w:rFonts w:ascii="Arial"/>
                      <w:color w:val="auto"/>
                      <w:sz w:val="21"/>
                      <w:highlight w:val="none"/>
                    </w:rPr>
                  </w:pPr>
                </w:p>
              </w:tc>
              <w:tc>
                <w:tcPr>
                  <w:tcW w:w="1574" w:type="dxa"/>
                  <w:gridSpan w:val="2"/>
                  <w:vMerge w:val="continue"/>
                  <w:tcBorders>
                    <w:top w:val="nil"/>
                    <w:left w:val="single" w:color="000000" w:sz="6" w:space="0"/>
                    <w:bottom w:val="nil"/>
                    <w:right w:val="single" w:color="000000" w:sz="6" w:space="0"/>
                  </w:tcBorders>
                  <w:vAlign w:val="top"/>
                </w:tcPr>
                <w:p>
                  <w:pPr>
                    <w:rPr>
                      <w:rFonts w:ascii="Arial"/>
                      <w:color w:val="auto"/>
                      <w:sz w:val="21"/>
                      <w:highlight w:val="none"/>
                    </w:rPr>
                  </w:pPr>
                </w:p>
              </w:tc>
              <w:tc>
                <w:tcPr>
                  <w:tcW w:w="3318" w:type="dxa"/>
                  <w:gridSpan w:val="2"/>
                  <w:vMerge w:val="continue"/>
                  <w:tcBorders>
                    <w:top w:val="nil"/>
                    <w:left w:val="single" w:color="000000" w:sz="6" w:space="0"/>
                    <w:bottom w:val="nil"/>
                    <w:right w:val="single" w:color="000000" w:sz="6" w:space="0"/>
                  </w:tcBorders>
                  <w:vAlign w:val="top"/>
                </w:tcPr>
                <w:p>
                  <w:pPr>
                    <w:rPr>
                      <w:rFonts w:ascii="Arial"/>
                      <w:color w:val="auto"/>
                      <w:sz w:val="21"/>
                      <w:highlight w:val="none"/>
                    </w:rPr>
                  </w:pPr>
                </w:p>
              </w:tc>
              <w:tc>
                <w:tcPr>
                  <w:tcW w:w="628" w:type="dxa"/>
                  <w:gridSpan w:val="2"/>
                  <w:vMerge w:val="continue"/>
                  <w:tcBorders>
                    <w:top w:val="nil"/>
                    <w:left w:val="single" w:color="000000" w:sz="6" w:space="0"/>
                    <w:bottom w:val="nil"/>
                    <w:right w:val="single" w:color="000000" w:sz="6" w:space="0"/>
                  </w:tcBorders>
                  <w:vAlign w:val="top"/>
                </w:tcPr>
                <w:p>
                  <w:pPr>
                    <w:rPr>
                      <w:rFonts w:ascii="Arial"/>
                      <w:color w:val="auto"/>
                      <w:sz w:val="21"/>
                      <w:highlight w:val="none"/>
                    </w:rPr>
                  </w:pPr>
                </w:p>
              </w:tc>
              <w:tc>
                <w:tcPr>
                  <w:tcW w:w="1110" w:type="dxa"/>
                  <w:gridSpan w:val="2"/>
                  <w:vMerge w:val="continue"/>
                  <w:tcBorders>
                    <w:top w:val="nil"/>
                    <w:left w:val="single" w:color="000000" w:sz="6" w:space="0"/>
                    <w:bottom w:val="nil"/>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946" w:type="dxa"/>
                  <w:gridSpan w:val="2"/>
                  <w:vMerge w:val="continue"/>
                  <w:tcBorders>
                    <w:top w:val="nil"/>
                    <w:left w:val="single" w:color="000000" w:sz="8" w:space="0"/>
                    <w:right w:val="single" w:color="000000" w:sz="6" w:space="0"/>
                  </w:tcBorders>
                  <w:vAlign w:val="top"/>
                </w:tcPr>
                <w:p>
                  <w:pPr>
                    <w:rPr>
                      <w:rFonts w:ascii="Arial"/>
                      <w:color w:val="auto"/>
                      <w:sz w:val="21"/>
                      <w:highlight w:val="none"/>
                    </w:rPr>
                  </w:pPr>
                </w:p>
              </w:tc>
              <w:tc>
                <w:tcPr>
                  <w:tcW w:w="1574" w:type="dxa"/>
                  <w:gridSpan w:val="2"/>
                  <w:vMerge w:val="continue"/>
                  <w:tcBorders>
                    <w:top w:val="nil"/>
                    <w:left w:val="single" w:color="000000" w:sz="6" w:space="0"/>
                    <w:right w:val="single" w:color="000000" w:sz="6" w:space="0"/>
                  </w:tcBorders>
                  <w:vAlign w:val="top"/>
                </w:tcPr>
                <w:p>
                  <w:pPr>
                    <w:rPr>
                      <w:rFonts w:ascii="Arial"/>
                      <w:color w:val="auto"/>
                      <w:sz w:val="21"/>
                      <w:highlight w:val="none"/>
                    </w:rPr>
                  </w:pPr>
                </w:p>
              </w:tc>
              <w:tc>
                <w:tcPr>
                  <w:tcW w:w="3318" w:type="dxa"/>
                  <w:gridSpan w:val="2"/>
                  <w:vMerge w:val="continue"/>
                  <w:tcBorders>
                    <w:top w:val="nil"/>
                    <w:left w:val="single" w:color="000000" w:sz="6" w:space="0"/>
                    <w:right w:val="single" w:color="000000" w:sz="6" w:space="0"/>
                  </w:tcBorders>
                  <w:vAlign w:val="top"/>
                </w:tcPr>
                <w:p>
                  <w:pPr>
                    <w:rPr>
                      <w:rFonts w:ascii="Arial"/>
                      <w:color w:val="auto"/>
                      <w:sz w:val="21"/>
                      <w:highlight w:val="none"/>
                    </w:rPr>
                  </w:pPr>
                </w:p>
              </w:tc>
              <w:tc>
                <w:tcPr>
                  <w:tcW w:w="628" w:type="dxa"/>
                  <w:gridSpan w:val="2"/>
                  <w:vMerge w:val="continue"/>
                  <w:tcBorders>
                    <w:top w:val="nil"/>
                    <w:left w:val="single" w:color="000000" w:sz="6" w:space="0"/>
                    <w:right w:val="single" w:color="000000" w:sz="6" w:space="0"/>
                  </w:tcBorders>
                  <w:vAlign w:val="top"/>
                </w:tcPr>
                <w:p>
                  <w:pPr>
                    <w:rPr>
                      <w:rFonts w:ascii="Arial"/>
                      <w:color w:val="auto"/>
                      <w:sz w:val="21"/>
                      <w:highlight w:val="none"/>
                    </w:rPr>
                  </w:pPr>
                </w:p>
              </w:tc>
              <w:tc>
                <w:tcPr>
                  <w:tcW w:w="1110" w:type="dxa"/>
                  <w:gridSpan w:val="2"/>
                  <w:vMerge w:val="continue"/>
                  <w:tcBorders>
                    <w:top w:val="nil"/>
                    <w:left w:val="single" w:color="000000" w:sz="6" w:space="0"/>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jc w:val="center"/>
              </w:trPr>
              <w:tc>
                <w:tcPr>
                  <w:tcW w:w="946" w:type="dxa"/>
                  <w:gridSpan w:val="2"/>
                  <w:tcBorders>
                    <w:left w:val="single" w:color="000000" w:sz="8" w:space="0"/>
                    <w:right w:val="single" w:color="000000" w:sz="6" w:space="0"/>
                  </w:tcBorders>
                  <w:vAlign w:val="top"/>
                </w:tcPr>
                <w:p>
                  <w:pPr>
                    <w:rPr>
                      <w:rFonts w:ascii="Arial"/>
                      <w:color w:val="auto"/>
                      <w:sz w:val="21"/>
                      <w:highlight w:val="none"/>
                    </w:rPr>
                  </w:pPr>
                </w:p>
              </w:tc>
              <w:tc>
                <w:tcPr>
                  <w:tcW w:w="1574" w:type="dxa"/>
                  <w:gridSpan w:val="2"/>
                  <w:tcBorders>
                    <w:left w:val="single" w:color="000000" w:sz="6" w:space="0"/>
                    <w:right w:val="single" w:color="000000" w:sz="6" w:space="0"/>
                  </w:tcBorders>
                  <w:vAlign w:val="top"/>
                </w:tcPr>
                <w:p>
                  <w:pPr>
                    <w:spacing w:before="190" w:line="229" w:lineRule="auto"/>
                    <w:ind w:left="24"/>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配</w:t>
                  </w:r>
                  <w:r>
                    <w:rPr>
                      <w:rFonts w:ascii="宋体" w:hAnsi="宋体" w:eastAsia="宋体" w:cs="宋体"/>
                      <w:color w:val="auto"/>
                      <w:spacing w:val="3"/>
                      <w:sz w:val="19"/>
                      <w:szCs w:val="19"/>
                      <w:highlight w:val="none"/>
                    </w:rPr>
                    <w:t>电部分</w:t>
                  </w:r>
                </w:p>
              </w:tc>
              <w:tc>
                <w:tcPr>
                  <w:tcW w:w="3318" w:type="dxa"/>
                  <w:gridSpan w:val="2"/>
                  <w:tcBorders>
                    <w:left w:val="single" w:color="000000" w:sz="6" w:space="0"/>
                    <w:right w:val="single" w:color="000000" w:sz="6" w:space="0"/>
                  </w:tcBorders>
                  <w:vAlign w:val="top"/>
                </w:tcPr>
                <w:p>
                  <w:pPr>
                    <w:rPr>
                      <w:rFonts w:ascii="Arial"/>
                      <w:color w:val="auto"/>
                      <w:sz w:val="21"/>
                      <w:highlight w:val="none"/>
                    </w:rPr>
                  </w:pPr>
                </w:p>
              </w:tc>
              <w:tc>
                <w:tcPr>
                  <w:tcW w:w="628" w:type="dxa"/>
                  <w:gridSpan w:val="2"/>
                  <w:tcBorders>
                    <w:left w:val="single" w:color="000000" w:sz="6" w:space="0"/>
                    <w:right w:val="single" w:color="000000" w:sz="6" w:space="0"/>
                  </w:tcBorders>
                  <w:vAlign w:val="top"/>
                </w:tcPr>
                <w:p>
                  <w:pPr>
                    <w:rPr>
                      <w:rFonts w:ascii="Arial"/>
                      <w:color w:val="auto"/>
                      <w:sz w:val="21"/>
                      <w:highlight w:val="none"/>
                    </w:rPr>
                  </w:pPr>
                </w:p>
              </w:tc>
              <w:tc>
                <w:tcPr>
                  <w:tcW w:w="1110" w:type="dxa"/>
                  <w:gridSpan w:val="2"/>
                  <w:tcBorders>
                    <w:left w:val="single" w:color="000000" w:sz="6" w:space="0"/>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4" w:hRule="atLeast"/>
                <w:jc w:val="center"/>
              </w:trPr>
              <w:tc>
                <w:tcPr>
                  <w:tcW w:w="946" w:type="dxa"/>
                  <w:gridSpan w:val="2"/>
                  <w:tcBorders>
                    <w:left w:val="single" w:color="000000" w:sz="8" w:space="0"/>
                    <w:right w:val="single" w:color="000000" w:sz="6" w:space="0"/>
                  </w:tcBorders>
                  <w:vAlign w:val="top"/>
                </w:tcPr>
                <w:p>
                  <w:pPr>
                    <w:spacing w:line="294" w:lineRule="auto"/>
                    <w:rPr>
                      <w:rFonts w:ascii="Arial"/>
                      <w:color w:val="auto"/>
                      <w:sz w:val="21"/>
                      <w:highlight w:val="none"/>
                    </w:rPr>
                  </w:pPr>
                </w:p>
                <w:p>
                  <w:pPr>
                    <w:spacing w:before="62" w:line="191" w:lineRule="auto"/>
                    <w:ind w:left="346"/>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1574" w:type="dxa"/>
                  <w:gridSpan w:val="2"/>
                  <w:tcBorders>
                    <w:left w:val="single" w:color="000000" w:sz="6" w:space="0"/>
                    <w:right w:val="single" w:color="000000" w:sz="6" w:space="0"/>
                  </w:tcBorders>
                  <w:vAlign w:val="top"/>
                </w:tcPr>
                <w:p>
                  <w:pPr>
                    <w:spacing w:before="220" w:line="219" w:lineRule="auto"/>
                    <w:ind w:left="27" w:right="58" w:hanging="2"/>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箱</w:t>
                  </w:r>
                  <w:r>
                    <w:rPr>
                      <w:rFonts w:ascii="宋体" w:hAnsi="宋体" w:eastAsia="宋体" w:cs="宋体"/>
                      <w:color w:val="auto"/>
                      <w:spacing w:val="4"/>
                      <w:sz w:val="19"/>
                      <w:szCs w:val="19"/>
                      <w:highlight w:val="none"/>
                    </w:rPr>
                    <w:t>式变电站</w:t>
                  </w:r>
                  <w:r>
                    <w:rPr>
                      <w:rFonts w:ascii="宋体" w:hAnsi="宋体" w:eastAsia="宋体" w:cs="宋体"/>
                      <w:color w:val="auto"/>
                      <w:sz w:val="19"/>
                      <w:szCs w:val="19"/>
                      <w:highlight w:val="none"/>
                    </w:rPr>
                    <w:t>S</w:t>
                  </w:r>
                  <w:r>
                    <w:rPr>
                      <w:rFonts w:ascii="宋体" w:hAnsi="宋体" w:eastAsia="宋体" w:cs="宋体"/>
                      <w:color w:val="auto"/>
                      <w:spacing w:val="4"/>
                      <w:sz w:val="19"/>
                      <w:szCs w:val="19"/>
                      <w:highlight w:val="none"/>
                    </w:rPr>
                    <w:t>1</w:t>
                  </w:r>
                  <w:r>
                    <w:rPr>
                      <w:rFonts w:ascii="宋体" w:hAnsi="宋体" w:eastAsia="宋体" w:cs="宋体"/>
                      <w:color w:val="auto"/>
                      <w:sz w:val="19"/>
                      <w:szCs w:val="19"/>
                      <w:highlight w:val="none"/>
                    </w:rPr>
                    <w:t xml:space="preserve"> </w:t>
                  </w:r>
                  <w:r>
                    <w:rPr>
                      <w:rFonts w:ascii="宋体" w:hAnsi="宋体" w:eastAsia="宋体" w:cs="宋体"/>
                      <w:color w:val="auto"/>
                      <w:spacing w:val="12"/>
                      <w:sz w:val="19"/>
                      <w:szCs w:val="19"/>
                      <w:highlight w:val="none"/>
                    </w:rPr>
                    <w:t>3-400</w:t>
                  </w:r>
                  <w:r>
                    <w:rPr>
                      <w:rFonts w:ascii="宋体" w:hAnsi="宋体" w:eastAsia="宋体" w:cs="宋体"/>
                      <w:color w:val="auto"/>
                      <w:sz w:val="19"/>
                      <w:szCs w:val="19"/>
                      <w:highlight w:val="none"/>
                    </w:rPr>
                    <w:t>kVA</w:t>
                  </w:r>
                </w:p>
              </w:tc>
              <w:tc>
                <w:tcPr>
                  <w:tcW w:w="3318" w:type="dxa"/>
                  <w:gridSpan w:val="2"/>
                  <w:tcBorders>
                    <w:left w:val="single" w:color="000000" w:sz="6" w:space="0"/>
                    <w:right w:val="single" w:color="000000" w:sz="6" w:space="0"/>
                  </w:tcBorders>
                  <w:vAlign w:val="top"/>
                </w:tcPr>
                <w:p>
                  <w:pPr>
                    <w:spacing w:before="130" w:line="196" w:lineRule="auto"/>
                    <w:ind w:left="42"/>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1</w:t>
                  </w:r>
                  <w:r>
                    <w:rPr>
                      <w:rFonts w:ascii="宋体" w:hAnsi="宋体" w:eastAsia="宋体" w:cs="宋体"/>
                      <w:color w:val="auto"/>
                      <w:spacing w:val="4"/>
                      <w:sz w:val="19"/>
                      <w:szCs w:val="19"/>
                      <w:highlight w:val="none"/>
                    </w:rPr>
                    <w:t>.名称:成套箱式变电站</w:t>
                  </w:r>
                </w:p>
                <w:p>
                  <w:pPr>
                    <w:spacing w:line="189" w:lineRule="auto"/>
                    <w:ind w:left="29"/>
                    <w:rPr>
                      <w:rFonts w:ascii="宋体" w:hAnsi="宋体" w:eastAsia="宋体" w:cs="宋体"/>
                      <w:color w:val="auto"/>
                      <w:sz w:val="19"/>
                      <w:szCs w:val="19"/>
                      <w:highlight w:val="none"/>
                    </w:rPr>
                  </w:pPr>
                  <w:r>
                    <w:rPr>
                      <w:rFonts w:ascii="宋体" w:hAnsi="宋体" w:eastAsia="宋体" w:cs="宋体"/>
                      <w:color w:val="auto"/>
                      <w:spacing w:val="11"/>
                      <w:sz w:val="19"/>
                      <w:szCs w:val="19"/>
                      <w:highlight w:val="none"/>
                    </w:rPr>
                    <w:t>2.型号:</w:t>
                  </w:r>
                  <w:r>
                    <w:rPr>
                      <w:rFonts w:ascii="宋体" w:hAnsi="宋体" w:eastAsia="宋体" w:cs="宋体"/>
                      <w:color w:val="auto"/>
                      <w:sz w:val="19"/>
                      <w:szCs w:val="19"/>
                      <w:highlight w:val="none"/>
                    </w:rPr>
                    <w:t>S</w:t>
                  </w:r>
                  <w:r>
                    <w:rPr>
                      <w:rFonts w:ascii="宋体" w:hAnsi="宋体" w:eastAsia="宋体" w:cs="宋体"/>
                      <w:color w:val="auto"/>
                      <w:spacing w:val="11"/>
                      <w:sz w:val="19"/>
                      <w:szCs w:val="19"/>
                      <w:highlight w:val="none"/>
                    </w:rPr>
                    <w:t>13-40</w:t>
                  </w:r>
                  <w:r>
                    <w:rPr>
                      <w:rFonts w:ascii="宋体" w:hAnsi="宋体" w:eastAsia="宋体" w:cs="宋体"/>
                      <w:color w:val="auto"/>
                      <w:spacing w:val="9"/>
                      <w:sz w:val="19"/>
                      <w:szCs w:val="19"/>
                      <w:highlight w:val="none"/>
                    </w:rPr>
                    <w:t>0</w:t>
                  </w:r>
                  <w:r>
                    <w:rPr>
                      <w:rFonts w:ascii="宋体" w:hAnsi="宋体" w:eastAsia="宋体" w:cs="宋体"/>
                      <w:color w:val="auto"/>
                      <w:sz w:val="19"/>
                      <w:szCs w:val="19"/>
                      <w:highlight w:val="none"/>
                    </w:rPr>
                    <w:t>kVA</w:t>
                  </w:r>
                </w:p>
                <w:p>
                  <w:pPr>
                    <w:ind w:left="31"/>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3</w:t>
                  </w:r>
                  <w:r>
                    <w:rPr>
                      <w:rFonts w:ascii="宋体" w:hAnsi="宋体" w:eastAsia="宋体" w:cs="宋体"/>
                      <w:color w:val="auto"/>
                      <w:spacing w:val="5"/>
                      <w:sz w:val="19"/>
                      <w:szCs w:val="19"/>
                      <w:highlight w:val="none"/>
                    </w:rPr>
                    <w:t>.组合形式:高压计量</w:t>
                  </w:r>
                </w:p>
              </w:tc>
              <w:tc>
                <w:tcPr>
                  <w:tcW w:w="628" w:type="dxa"/>
                  <w:gridSpan w:val="2"/>
                  <w:tcBorders>
                    <w:left w:val="single" w:color="000000" w:sz="6" w:space="0"/>
                    <w:right w:val="single" w:color="000000" w:sz="6" w:space="0"/>
                  </w:tcBorders>
                  <w:vAlign w:val="top"/>
                </w:tcPr>
                <w:p>
                  <w:pPr>
                    <w:spacing w:line="261" w:lineRule="auto"/>
                    <w:rPr>
                      <w:rFonts w:ascii="Arial"/>
                      <w:color w:val="auto"/>
                      <w:sz w:val="21"/>
                      <w:highlight w:val="none"/>
                    </w:rPr>
                  </w:pPr>
                </w:p>
                <w:p>
                  <w:pPr>
                    <w:spacing w:before="62" w:line="231" w:lineRule="auto"/>
                    <w:ind w:left="182"/>
                    <w:rPr>
                      <w:rFonts w:ascii="宋体" w:hAnsi="宋体" w:eastAsia="宋体" w:cs="宋体"/>
                      <w:color w:val="auto"/>
                      <w:sz w:val="19"/>
                      <w:szCs w:val="19"/>
                      <w:highlight w:val="none"/>
                    </w:rPr>
                  </w:pPr>
                  <w:r>
                    <w:rPr>
                      <w:rFonts w:ascii="宋体" w:hAnsi="宋体" w:eastAsia="宋体" w:cs="宋体"/>
                      <w:color w:val="auto"/>
                      <w:sz w:val="19"/>
                      <w:szCs w:val="19"/>
                      <w:highlight w:val="none"/>
                    </w:rPr>
                    <w:t>台</w:t>
                  </w:r>
                </w:p>
              </w:tc>
              <w:tc>
                <w:tcPr>
                  <w:tcW w:w="1110" w:type="dxa"/>
                  <w:gridSpan w:val="2"/>
                  <w:tcBorders>
                    <w:left w:val="single" w:color="000000" w:sz="6" w:space="0"/>
                    <w:right w:val="single" w:color="000000" w:sz="6" w:space="0"/>
                  </w:tcBorders>
                  <w:vAlign w:val="top"/>
                </w:tcPr>
                <w:p>
                  <w:pPr>
                    <w:spacing w:line="294" w:lineRule="auto"/>
                    <w:rPr>
                      <w:rFonts w:ascii="Arial"/>
                      <w:color w:val="auto"/>
                      <w:sz w:val="21"/>
                      <w:highlight w:val="none"/>
                    </w:rPr>
                  </w:pPr>
                </w:p>
                <w:p>
                  <w:pPr>
                    <w:spacing w:before="62" w:line="191" w:lineRule="auto"/>
                    <w:ind w:left="796"/>
                    <w:rPr>
                      <w:rFonts w:ascii="宋体" w:hAnsi="宋体" w:eastAsia="宋体" w:cs="宋体"/>
                      <w:color w:val="auto"/>
                      <w:sz w:val="19"/>
                      <w:szCs w:val="19"/>
                      <w:highlight w:val="none"/>
                    </w:rPr>
                  </w:pPr>
                  <w:r>
                    <w:rPr>
                      <w:rFonts w:ascii="宋体" w:hAnsi="宋体" w:eastAsia="宋体" w:cs="宋体"/>
                      <w:color w:val="auto"/>
                      <w:spacing w:val="-8"/>
                      <w:w w:val="89"/>
                      <w:sz w:val="19"/>
                      <w:szCs w:val="19"/>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946" w:type="dxa"/>
                  <w:gridSpan w:val="2"/>
                  <w:tcBorders>
                    <w:left w:val="single" w:color="000000" w:sz="8" w:space="0"/>
                    <w:right w:val="single" w:color="000000" w:sz="6" w:space="0"/>
                  </w:tcBorders>
                  <w:vAlign w:val="center"/>
                </w:tcPr>
                <w:p>
                  <w:pPr>
                    <w:spacing w:before="62" w:line="191" w:lineRule="auto"/>
                    <w:jc w:val="center"/>
                    <w:rPr>
                      <w:rFonts w:ascii="宋体" w:hAnsi="宋体" w:eastAsia="宋体" w:cs="宋体"/>
                      <w:color w:val="auto"/>
                      <w:sz w:val="19"/>
                      <w:szCs w:val="19"/>
                      <w:highlight w:val="none"/>
                    </w:rPr>
                  </w:pPr>
                  <w:r>
                    <w:rPr>
                      <w:rFonts w:ascii="宋体" w:hAnsi="宋体" w:eastAsia="宋体" w:cs="宋体"/>
                      <w:color w:val="auto"/>
                      <w:sz w:val="19"/>
                      <w:szCs w:val="19"/>
                      <w:highlight w:val="none"/>
                    </w:rPr>
                    <w:t>2</w:t>
                  </w:r>
                </w:p>
              </w:tc>
              <w:tc>
                <w:tcPr>
                  <w:tcW w:w="1574" w:type="dxa"/>
                  <w:gridSpan w:val="2"/>
                  <w:tcBorders>
                    <w:left w:val="single" w:color="000000" w:sz="6" w:space="0"/>
                    <w:right w:val="single" w:color="000000" w:sz="6" w:space="0"/>
                  </w:tcBorders>
                  <w:vAlign w:val="center"/>
                </w:tcPr>
                <w:p>
                  <w:pPr>
                    <w:spacing w:before="62" w:line="229" w:lineRule="auto"/>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高压电力电缆</w:t>
                  </w:r>
                </w:p>
              </w:tc>
              <w:tc>
                <w:tcPr>
                  <w:tcW w:w="3318" w:type="dxa"/>
                  <w:gridSpan w:val="2"/>
                  <w:tcBorders>
                    <w:left w:val="single" w:color="000000" w:sz="6" w:space="0"/>
                    <w:right w:val="single" w:color="000000" w:sz="6" w:space="0"/>
                  </w:tcBorders>
                  <w:vAlign w:val="center"/>
                </w:tcPr>
                <w:p>
                  <w:pPr>
                    <w:spacing w:before="62" w:line="204" w:lineRule="auto"/>
                    <w:ind w:right="98"/>
                    <w:rPr>
                      <w:rFonts w:ascii="宋体" w:hAnsi="宋体" w:eastAsia="宋体" w:cs="宋体"/>
                      <w:color w:val="auto"/>
                      <w:sz w:val="19"/>
                      <w:szCs w:val="19"/>
                      <w:highlight w:val="none"/>
                    </w:rPr>
                  </w:pPr>
                  <w:r>
                    <w:rPr>
                      <w:rFonts w:ascii="宋体" w:hAnsi="宋体" w:eastAsia="宋体" w:cs="宋体"/>
                      <w:color w:val="auto"/>
                      <w:spacing w:val="7"/>
                      <w:sz w:val="19"/>
                      <w:szCs w:val="19"/>
                      <w:highlight w:val="none"/>
                    </w:rPr>
                    <w:t>1</w:t>
                  </w:r>
                  <w:r>
                    <w:rPr>
                      <w:rFonts w:ascii="宋体" w:hAnsi="宋体" w:eastAsia="宋体" w:cs="宋体"/>
                      <w:color w:val="auto"/>
                      <w:spacing w:val="4"/>
                      <w:sz w:val="19"/>
                      <w:szCs w:val="19"/>
                      <w:highlight w:val="none"/>
                    </w:rPr>
                    <w:t>.名称:电力电缆</w:t>
                  </w:r>
                  <w:r>
                    <w:rPr>
                      <w:rFonts w:ascii="宋体" w:hAnsi="宋体" w:eastAsia="宋体" w:cs="宋体"/>
                      <w:color w:val="auto"/>
                      <w:sz w:val="19"/>
                      <w:szCs w:val="19"/>
                      <w:highlight w:val="none"/>
                    </w:rPr>
                    <w:t xml:space="preserve">           </w:t>
                  </w:r>
                </w:p>
                <w:p>
                  <w:pPr>
                    <w:spacing w:before="62" w:line="204" w:lineRule="auto"/>
                    <w:ind w:left="26" w:right="98" w:firstLine="15"/>
                    <w:rPr>
                      <w:rFonts w:ascii="宋体" w:hAnsi="宋体" w:eastAsia="宋体" w:cs="宋体"/>
                      <w:color w:val="auto"/>
                      <w:sz w:val="19"/>
                      <w:szCs w:val="19"/>
                      <w:highlight w:val="none"/>
                    </w:rPr>
                  </w:pPr>
                  <w:r>
                    <w:rPr>
                      <w:rFonts w:ascii="宋体" w:hAnsi="宋体" w:eastAsia="宋体" w:cs="宋体"/>
                      <w:color w:val="auto"/>
                      <w:spacing w:val="16"/>
                      <w:sz w:val="19"/>
                      <w:szCs w:val="19"/>
                      <w:highlight w:val="none"/>
                    </w:rPr>
                    <w:t>2</w:t>
                  </w:r>
                  <w:r>
                    <w:rPr>
                      <w:rFonts w:ascii="宋体" w:hAnsi="宋体" w:eastAsia="宋体" w:cs="宋体"/>
                      <w:color w:val="auto"/>
                      <w:spacing w:val="10"/>
                      <w:sz w:val="19"/>
                      <w:szCs w:val="19"/>
                      <w:highlight w:val="none"/>
                    </w:rPr>
                    <w:t>.型号、规格:</w:t>
                  </w:r>
                  <w:r>
                    <w:rPr>
                      <w:rFonts w:ascii="宋体" w:hAnsi="宋体" w:eastAsia="宋体" w:cs="宋体"/>
                      <w:color w:val="auto"/>
                      <w:sz w:val="19"/>
                      <w:szCs w:val="19"/>
                      <w:highlight w:val="none"/>
                    </w:rPr>
                    <w:t>ZC</w:t>
                  </w:r>
                  <w:r>
                    <w:rPr>
                      <w:rFonts w:ascii="宋体" w:hAnsi="宋体" w:eastAsia="宋体" w:cs="宋体"/>
                      <w:color w:val="auto"/>
                      <w:spacing w:val="10"/>
                      <w:sz w:val="19"/>
                      <w:szCs w:val="19"/>
                      <w:highlight w:val="none"/>
                    </w:rPr>
                    <w:t>-</w:t>
                  </w:r>
                  <w:r>
                    <w:rPr>
                      <w:rFonts w:ascii="宋体" w:hAnsi="宋体" w:eastAsia="宋体" w:cs="宋体"/>
                      <w:color w:val="auto"/>
                      <w:sz w:val="19"/>
                      <w:szCs w:val="19"/>
                      <w:highlight w:val="none"/>
                    </w:rPr>
                    <w:t>YJV</w:t>
                  </w:r>
                  <w:r>
                    <w:rPr>
                      <w:rFonts w:ascii="宋体" w:hAnsi="宋体" w:eastAsia="宋体" w:cs="宋体"/>
                      <w:color w:val="auto"/>
                      <w:spacing w:val="10"/>
                      <w:sz w:val="19"/>
                      <w:szCs w:val="19"/>
                      <w:highlight w:val="none"/>
                    </w:rPr>
                    <w:t>22-8.7</w:t>
                  </w:r>
                  <w:r>
                    <w:rPr>
                      <w:rFonts w:ascii="宋体" w:hAnsi="宋体" w:eastAsia="宋体" w:cs="宋体"/>
                      <w:color w:val="auto"/>
                      <w:spacing w:val="18"/>
                      <w:sz w:val="19"/>
                      <w:szCs w:val="19"/>
                      <w:highlight w:val="none"/>
                    </w:rPr>
                    <w:t>/</w:t>
                  </w:r>
                  <w:r>
                    <w:rPr>
                      <w:rFonts w:ascii="宋体" w:hAnsi="宋体" w:eastAsia="宋体" w:cs="宋体"/>
                      <w:color w:val="auto"/>
                      <w:spacing w:val="12"/>
                      <w:sz w:val="19"/>
                      <w:szCs w:val="19"/>
                      <w:highlight w:val="none"/>
                    </w:rPr>
                    <w:t>15</w:t>
                  </w:r>
                  <w:r>
                    <w:rPr>
                      <w:rFonts w:ascii="宋体" w:hAnsi="宋体" w:eastAsia="宋体" w:cs="宋体"/>
                      <w:color w:val="auto"/>
                      <w:sz w:val="19"/>
                      <w:szCs w:val="19"/>
                      <w:highlight w:val="none"/>
                    </w:rPr>
                    <w:t>kV</w:t>
                  </w:r>
                  <w:r>
                    <w:rPr>
                      <w:rFonts w:ascii="宋体" w:hAnsi="宋体" w:eastAsia="宋体" w:cs="宋体"/>
                      <w:color w:val="auto"/>
                      <w:spacing w:val="12"/>
                      <w:sz w:val="19"/>
                      <w:szCs w:val="19"/>
                      <w:highlight w:val="none"/>
                    </w:rPr>
                    <w:t>-3*70</w:t>
                  </w:r>
                  <w:r>
                    <w:rPr>
                      <w:rFonts w:ascii="宋体" w:hAnsi="宋体" w:eastAsia="宋体" w:cs="宋体"/>
                      <w:color w:val="auto"/>
                      <w:sz w:val="19"/>
                      <w:szCs w:val="19"/>
                      <w:highlight w:val="none"/>
                    </w:rPr>
                    <w:t>mm</w:t>
                  </w:r>
                  <w:r>
                    <w:rPr>
                      <w:rFonts w:ascii="宋体" w:hAnsi="宋体" w:eastAsia="宋体" w:cs="宋体"/>
                      <w:color w:val="auto"/>
                      <w:spacing w:val="12"/>
                      <w:sz w:val="19"/>
                      <w:szCs w:val="19"/>
                      <w:highlight w:val="none"/>
                    </w:rPr>
                    <w:t>2</w:t>
                  </w:r>
                  <w:r>
                    <w:rPr>
                      <w:rFonts w:ascii="宋体" w:hAnsi="宋体" w:eastAsia="宋体" w:cs="宋体"/>
                      <w:color w:val="auto"/>
                      <w:sz w:val="19"/>
                      <w:szCs w:val="19"/>
                      <w:highlight w:val="none"/>
                    </w:rPr>
                    <w:t xml:space="preserve">            </w:t>
                  </w:r>
                </w:p>
                <w:p>
                  <w:pPr>
                    <w:spacing w:before="62" w:line="204" w:lineRule="auto"/>
                    <w:ind w:left="26" w:right="98" w:firstLine="15"/>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3</w:t>
                  </w:r>
                  <w:r>
                    <w:rPr>
                      <w:rFonts w:ascii="宋体" w:hAnsi="宋体" w:eastAsia="宋体" w:cs="宋体"/>
                      <w:color w:val="auto"/>
                      <w:spacing w:val="6"/>
                      <w:sz w:val="19"/>
                      <w:szCs w:val="19"/>
                      <w:highlight w:val="none"/>
                    </w:rPr>
                    <w:t>.材质:铜芯</w:t>
                  </w:r>
                </w:p>
              </w:tc>
              <w:tc>
                <w:tcPr>
                  <w:tcW w:w="628" w:type="dxa"/>
                  <w:gridSpan w:val="2"/>
                  <w:tcBorders>
                    <w:left w:val="single" w:color="000000" w:sz="6" w:space="0"/>
                    <w:right w:val="single" w:color="000000" w:sz="6" w:space="0"/>
                  </w:tcBorders>
                  <w:vAlign w:val="center"/>
                </w:tcPr>
                <w:p>
                  <w:pPr>
                    <w:spacing w:before="62" w:line="258" w:lineRule="exact"/>
                    <w:jc w:val="center"/>
                    <w:rPr>
                      <w:rFonts w:ascii="宋体" w:hAnsi="宋体" w:eastAsia="宋体" w:cs="宋体"/>
                      <w:color w:val="auto"/>
                      <w:sz w:val="19"/>
                      <w:szCs w:val="19"/>
                      <w:highlight w:val="none"/>
                    </w:rPr>
                  </w:pPr>
                  <w:r>
                    <w:rPr>
                      <w:rFonts w:ascii="宋体" w:hAnsi="宋体" w:eastAsia="宋体" w:cs="宋体"/>
                      <w:color w:val="auto"/>
                      <w:spacing w:val="2"/>
                      <w:position w:val="3"/>
                      <w:sz w:val="19"/>
                      <w:szCs w:val="19"/>
                      <w:highlight w:val="none"/>
                    </w:rPr>
                    <w:t>m</w:t>
                  </w:r>
                </w:p>
              </w:tc>
              <w:tc>
                <w:tcPr>
                  <w:tcW w:w="1110" w:type="dxa"/>
                  <w:gridSpan w:val="2"/>
                  <w:tcBorders>
                    <w:left w:val="single" w:color="000000" w:sz="6" w:space="0"/>
                    <w:right w:val="single" w:color="000000" w:sz="6" w:space="0"/>
                  </w:tcBorders>
                  <w:vAlign w:val="center"/>
                </w:tcPr>
                <w:p>
                  <w:pPr>
                    <w:spacing w:before="61" w:line="190" w:lineRule="auto"/>
                    <w:jc w:val="center"/>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w:t>
                  </w:r>
                  <w:r>
                    <w:rPr>
                      <w:rFonts w:ascii="宋体" w:hAnsi="宋体" w:eastAsia="宋体" w:cs="宋体"/>
                      <w:color w:val="auto"/>
                      <w:sz w:val="19"/>
                      <w:szCs w:val="19"/>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jc w:val="center"/>
              </w:trPr>
              <w:tc>
                <w:tcPr>
                  <w:tcW w:w="946" w:type="dxa"/>
                  <w:gridSpan w:val="2"/>
                  <w:tcBorders>
                    <w:left w:val="single" w:color="000000" w:sz="8" w:space="0"/>
                    <w:right w:val="single" w:color="000000" w:sz="6" w:space="0"/>
                  </w:tcBorders>
                  <w:vAlign w:val="top"/>
                </w:tcPr>
                <w:p>
                  <w:pPr>
                    <w:spacing w:line="333" w:lineRule="auto"/>
                    <w:rPr>
                      <w:rFonts w:ascii="Arial"/>
                      <w:color w:val="auto"/>
                      <w:sz w:val="21"/>
                      <w:highlight w:val="none"/>
                    </w:rPr>
                  </w:pPr>
                </w:p>
                <w:p>
                  <w:pPr>
                    <w:spacing w:line="334" w:lineRule="auto"/>
                    <w:rPr>
                      <w:rFonts w:ascii="Arial"/>
                      <w:color w:val="auto"/>
                      <w:sz w:val="21"/>
                      <w:highlight w:val="none"/>
                    </w:rPr>
                  </w:pPr>
                </w:p>
                <w:p>
                  <w:pPr>
                    <w:spacing w:before="62" w:line="189" w:lineRule="auto"/>
                    <w:ind w:left="335"/>
                    <w:rPr>
                      <w:rFonts w:ascii="宋体" w:hAnsi="宋体" w:eastAsia="宋体" w:cs="宋体"/>
                      <w:color w:val="auto"/>
                      <w:sz w:val="19"/>
                      <w:szCs w:val="19"/>
                      <w:highlight w:val="none"/>
                    </w:rPr>
                  </w:pPr>
                  <w:r>
                    <w:rPr>
                      <w:rFonts w:ascii="宋体" w:hAnsi="宋体" w:eastAsia="宋体" w:cs="宋体"/>
                      <w:color w:val="auto"/>
                      <w:sz w:val="19"/>
                      <w:szCs w:val="19"/>
                      <w:highlight w:val="none"/>
                    </w:rPr>
                    <w:t>3</w:t>
                  </w:r>
                </w:p>
              </w:tc>
              <w:tc>
                <w:tcPr>
                  <w:tcW w:w="1574" w:type="dxa"/>
                  <w:gridSpan w:val="2"/>
                  <w:tcBorders>
                    <w:left w:val="single" w:color="000000" w:sz="6" w:space="0"/>
                    <w:right w:val="single" w:color="000000" w:sz="6" w:space="0"/>
                  </w:tcBorders>
                  <w:vAlign w:val="top"/>
                </w:tcPr>
                <w:p>
                  <w:pPr>
                    <w:spacing w:line="272" w:lineRule="auto"/>
                    <w:rPr>
                      <w:rFonts w:ascii="Arial"/>
                      <w:color w:val="auto"/>
                      <w:sz w:val="21"/>
                      <w:highlight w:val="none"/>
                    </w:rPr>
                  </w:pPr>
                </w:p>
                <w:p>
                  <w:pPr>
                    <w:spacing w:line="273" w:lineRule="auto"/>
                    <w:rPr>
                      <w:rFonts w:ascii="Arial"/>
                      <w:color w:val="auto"/>
                      <w:sz w:val="21"/>
                      <w:highlight w:val="none"/>
                    </w:rPr>
                  </w:pPr>
                </w:p>
                <w:p>
                  <w:pPr>
                    <w:spacing w:before="61" w:line="209" w:lineRule="auto"/>
                    <w:ind w:left="27" w:right="34" w:firstLine="11"/>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1</w:t>
                  </w:r>
                  <w:r>
                    <w:rPr>
                      <w:rFonts w:ascii="宋体" w:hAnsi="宋体" w:eastAsia="宋体" w:cs="宋体"/>
                      <w:color w:val="auto"/>
                      <w:spacing w:val="6"/>
                      <w:sz w:val="19"/>
                      <w:szCs w:val="19"/>
                      <w:highlight w:val="none"/>
                    </w:rPr>
                    <w:t>0</w:t>
                  </w:r>
                  <w:r>
                    <w:rPr>
                      <w:rFonts w:ascii="宋体" w:hAnsi="宋体" w:eastAsia="宋体" w:cs="宋体"/>
                      <w:color w:val="auto"/>
                      <w:sz w:val="19"/>
                      <w:szCs w:val="19"/>
                      <w:highlight w:val="none"/>
                    </w:rPr>
                    <w:t>kV</w:t>
                  </w:r>
                  <w:r>
                    <w:rPr>
                      <w:rFonts w:ascii="宋体" w:hAnsi="宋体" w:eastAsia="宋体" w:cs="宋体"/>
                      <w:color w:val="auto"/>
                      <w:spacing w:val="6"/>
                      <w:sz w:val="19"/>
                      <w:szCs w:val="19"/>
                      <w:highlight w:val="none"/>
                    </w:rPr>
                    <w:t>热缩中间</w:t>
                  </w:r>
                  <w:r>
                    <w:rPr>
                      <w:rFonts w:ascii="宋体" w:hAnsi="宋体" w:eastAsia="宋体" w:cs="宋体"/>
                      <w:color w:val="auto"/>
                      <w:sz w:val="19"/>
                      <w:szCs w:val="19"/>
                      <w:highlight w:val="none"/>
                    </w:rPr>
                    <w:t xml:space="preserve"> </w:t>
                  </w:r>
                  <w:r>
                    <w:rPr>
                      <w:rFonts w:ascii="宋体" w:hAnsi="宋体" w:eastAsia="宋体" w:cs="宋体"/>
                      <w:color w:val="auto"/>
                      <w:spacing w:val="12"/>
                      <w:sz w:val="19"/>
                      <w:szCs w:val="19"/>
                      <w:highlight w:val="none"/>
                    </w:rPr>
                    <w:t>头</w:t>
                  </w:r>
                  <w:r>
                    <w:rPr>
                      <w:rFonts w:ascii="宋体" w:hAnsi="宋体" w:eastAsia="宋体" w:cs="宋体"/>
                      <w:color w:val="auto"/>
                      <w:spacing w:val="9"/>
                      <w:sz w:val="19"/>
                      <w:szCs w:val="19"/>
                      <w:highlight w:val="none"/>
                    </w:rPr>
                    <w:t>3*70</w:t>
                  </w:r>
                  <w:r>
                    <w:rPr>
                      <w:rFonts w:ascii="宋体" w:hAnsi="宋体" w:eastAsia="宋体" w:cs="宋体"/>
                      <w:color w:val="auto"/>
                      <w:sz w:val="19"/>
                      <w:szCs w:val="19"/>
                      <w:highlight w:val="none"/>
                    </w:rPr>
                    <w:t>mm</w:t>
                  </w:r>
                  <w:r>
                    <w:rPr>
                      <w:rFonts w:ascii="宋体" w:hAnsi="宋体" w:eastAsia="宋体" w:cs="宋体"/>
                      <w:color w:val="auto"/>
                      <w:spacing w:val="9"/>
                      <w:sz w:val="19"/>
                      <w:szCs w:val="19"/>
                      <w:highlight w:val="none"/>
                    </w:rPr>
                    <w:t>2</w:t>
                  </w:r>
                </w:p>
              </w:tc>
              <w:tc>
                <w:tcPr>
                  <w:tcW w:w="3318" w:type="dxa"/>
                  <w:gridSpan w:val="2"/>
                  <w:tcBorders>
                    <w:left w:val="single" w:color="000000" w:sz="6" w:space="0"/>
                    <w:right w:val="single" w:color="000000" w:sz="6" w:space="0"/>
                  </w:tcBorders>
                  <w:vAlign w:val="top"/>
                </w:tcPr>
                <w:p>
                  <w:pPr>
                    <w:spacing w:before="220" w:line="197" w:lineRule="auto"/>
                    <w:ind w:left="42"/>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1</w:t>
                  </w:r>
                  <w:r>
                    <w:rPr>
                      <w:rFonts w:ascii="宋体" w:hAnsi="宋体" w:eastAsia="宋体" w:cs="宋体"/>
                      <w:color w:val="auto"/>
                      <w:spacing w:val="4"/>
                      <w:sz w:val="19"/>
                      <w:szCs w:val="19"/>
                      <w:highlight w:val="none"/>
                    </w:rPr>
                    <w:t>.名称:电力电缆头</w:t>
                  </w:r>
                </w:p>
                <w:p>
                  <w:pPr>
                    <w:spacing w:line="188" w:lineRule="auto"/>
                    <w:ind w:left="29"/>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2.型号:10</w:t>
                  </w:r>
                  <w:r>
                    <w:rPr>
                      <w:rFonts w:ascii="宋体" w:hAnsi="宋体" w:eastAsia="宋体" w:cs="宋体"/>
                      <w:color w:val="auto"/>
                      <w:sz w:val="19"/>
                      <w:szCs w:val="19"/>
                      <w:highlight w:val="none"/>
                    </w:rPr>
                    <w:t>kV</w:t>
                  </w:r>
                  <w:r>
                    <w:rPr>
                      <w:rFonts w:ascii="宋体" w:hAnsi="宋体" w:eastAsia="宋体" w:cs="宋体"/>
                      <w:color w:val="auto"/>
                      <w:spacing w:val="8"/>
                      <w:sz w:val="19"/>
                      <w:szCs w:val="19"/>
                      <w:highlight w:val="none"/>
                    </w:rPr>
                    <w:t>热缩中间</w:t>
                  </w:r>
                  <w:r>
                    <w:rPr>
                      <w:rFonts w:ascii="宋体" w:hAnsi="宋体" w:eastAsia="宋体" w:cs="宋体"/>
                      <w:color w:val="auto"/>
                      <w:spacing w:val="6"/>
                      <w:sz w:val="19"/>
                      <w:szCs w:val="19"/>
                      <w:highlight w:val="none"/>
                    </w:rPr>
                    <w:t>头</w:t>
                  </w:r>
                </w:p>
                <w:p>
                  <w:pPr>
                    <w:spacing w:line="188" w:lineRule="auto"/>
                    <w:ind w:left="31"/>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3.规格:3*70</w:t>
                  </w:r>
                  <w:r>
                    <w:rPr>
                      <w:rFonts w:ascii="宋体" w:hAnsi="宋体" w:eastAsia="宋体" w:cs="宋体"/>
                      <w:color w:val="auto"/>
                      <w:sz w:val="19"/>
                      <w:szCs w:val="19"/>
                      <w:highlight w:val="none"/>
                    </w:rPr>
                    <w:t>mm</w:t>
                  </w:r>
                  <w:r>
                    <w:rPr>
                      <w:rFonts w:ascii="宋体" w:hAnsi="宋体" w:eastAsia="宋体" w:cs="宋体"/>
                      <w:color w:val="auto"/>
                      <w:spacing w:val="8"/>
                      <w:sz w:val="19"/>
                      <w:szCs w:val="19"/>
                      <w:highlight w:val="none"/>
                    </w:rPr>
                    <w:t>2</w:t>
                  </w:r>
                </w:p>
                <w:p>
                  <w:pPr>
                    <w:spacing w:line="189" w:lineRule="auto"/>
                    <w:ind w:left="26"/>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4.材质、类型:铜芯</w:t>
                  </w:r>
                </w:p>
                <w:p>
                  <w:pPr>
                    <w:spacing w:before="1" w:line="188" w:lineRule="auto"/>
                    <w:ind w:left="31"/>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5</w:t>
                  </w:r>
                  <w:r>
                    <w:rPr>
                      <w:rFonts w:ascii="宋体" w:hAnsi="宋体" w:eastAsia="宋体" w:cs="宋体"/>
                      <w:color w:val="auto"/>
                      <w:spacing w:val="5"/>
                      <w:sz w:val="19"/>
                      <w:szCs w:val="19"/>
                      <w:highlight w:val="none"/>
                    </w:rPr>
                    <w:t>.安装部位:户内</w:t>
                  </w:r>
                </w:p>
                <w:p>
                  <w:pPr>
                    <w:spacing w:line="241" w:lineRule="auto"/>
                    <w:ind w:left="29"/>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6.电压等级(</w:t>
                  </w:r>
                  <w:r>
                    <w:rPr>
                      <w:rFonts w:ascii="宋体" w:hAnsi="宋体" w:eastAsia="宋体" w:cs="宋体"/>
                      <w:color w:val="auto"/>
                      <w:sz w:val="19"/>
                      <w:szCs w:val="19"/>
                      <w:highlight w:val="none"/>
                    </w:rPr>
                    <w:t>kV</w:t>
                  </w:r>
                  <w:r>
                    <w:rPr>
                      <w:rFonts w:ascii="宋体" w:hAnsi="宋体" w:eastAsia="宋体" w:cs="宋体"/>
                      <w:color w:val="auto"/>
                      <w:spacing w:val="10"/>
                      <w:sz w:val="19"/>
                      <w:szCs w:val="19"/>
                      <w:highlight w:val="none"/>
                    </w:rPr>
                    <w:t>):10</w:t>
                  </w:r>
                  <w:r>
                    <w:rPr>
                      <w:rFonts w:ascii="宋体" w:hAnsi="宋体" w:eastAsia="宋体" w:cs="宋体"/>
                      <w:color w:val="auto"/>
                      <w:sz w:val="19"/>
                      <w:szCs w:val="19"/>
                      <w:highlight w:val="none"/>
                    </w:rPr>
                    <w:t>KV</w:t>
                  </w:r>
                </w:p>
              </w:tc>
              <w:tc>
                <w:tcPr>
                  <w:tcW w:w="628" w:type="dxa"/>
                  <w:gridSpan w:val="2"/>
                  <w:tcBorders>
                    <w:left w:val="single" w:color="000000" w:sz="6" w:space="0"/>
                    <w:right w:val="single" w:color="000000" w:sz="6" w:space="0"/>
                  </w:tcBorders>
                  <w:vAlign w:val="top"/>
                </w:tcPr>
                <w:p>
                  <w:pPr>
                    <w:spacing w:line="317" w:lineRule="auto"/>
                    <w:rPr>
                      <w:rFonts w:ascii="Arial"/>
                      <w:color w:val="auto"/>
                      <w:sz w:val="21"/>
                      <w:highlight w:val="none"/>
                    </w:rPr>
                  </w:pPr>
                </w:p>
                <w:p>
                  <w:pPr>
                    <w:spacing w:line="317" w:lineRule="auto"/>
                    <w:rPr>
                      <w:rFonts w:ascii="Arial"/>
                      <w:color w:val="auto"/>
                      <w:sz w:val="21"/>
                      <w:highlight w:val="none"/>
                    </w:rPr>
                  </w:pPr>
                </w:p>
                <w:p>
                  <w:pPr>
                    <w:spacing w:before="62" w:line="229" w:lineRule="auto"/>
                    <w:ind w:left="167"/>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个</w:t>
                  </w:r>
                </w:p>
              </w:tc>
              <w:tc>
                <w:tcPr>
                  <w:tcW w:w="1110" w:type="dxa"/>
                  <w:gridSpan w:val="2"/>
                  <w:tcBorders>
                    <w:left w:val="single" w:color="000000" w:sz="6" w:space="0"/>
                    <w:right w:val="single" w:color="000000" w:sz="6" w:space="0"/>
                  </w:tcBorders>
                  <w:vAlign w:val="top"/>
                </w:tcPr>
                <w:p>
                  <w:pPr>
                    <w:spacing w:line="333" w:lineRule="auto"/>
                    <w:rPr>
                      <w:rFonts w:ascii="Arial"/>
                      <w:color w:val="auto"/>
                      <w:sz w:val="21"/>
                      <w:highlight w:val="none"/>
                    </w:rPr>
                  </w:pPr>
                </w:p>
                <w:p>
                  <w:pPr>
                    <w:spacing w:line="334" w:lineRule="auto"/>
                    <w:rPr>
                      <w:rFonts w:ascii="Arial"/>
                      <w:color w:val="auto"/>
                      <w:sz w:val="21"/>
                      <w:highlight w:val="none"/>
                    </w:rPr>
                  </w:pPr>
                </w:p>
                <w:p>
                  <w:pPr>
                    <w:spacing w:before="62" w:line="191" w:lineRule="auto"/>
                    <w:ind w:left="796"/>
                    <w:rPr>
                      <w:rFonts w:ascii="宋体" w:hAnsi="宋体" w:eastAsia="宋体" w:cs="宋体"/>
                      <w:color w:val="auto"/>
                      <w:sz w:val="19"/>
                      <w:szCs w:val="19"/>
                      <w:highlight w:val="none"/>
                    </w:rPr>
                  </w:pPr>
                  <w:r>
                    <w:rPr>
                      <w:rFonts w:ascii="宋体" w:hAnsi="宋体" w:eastAsia="宋体" w:cs="宋体"/>
                      <w:color w:val="auto"/>
                      <w:spacing w:val="-8"/>
                      <w:w w:val="89"/>
                      <w:sz w:val="19"/>
                      <w:szCs w:val="19"/>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77" w:hRule="atLeast"/>
                <w:jc w:val="center"/>
              </w:trPr>
              <w:tc>
                <w:tcPr>
                  <w:tcW w:w="946" w:type="dxa"/>
                  <w:gridSpan w:val="2"/>
                  <w:tcBorders>
                    <w:left w:val="single" w:color="000000" w:sz="8" w:space="0"/>
                    <w:right w:val="single" w:color="000000" w:sz="6" w:space="0"/>
                  </w:tcBorders>
                  <w:vAlign w:val="top"/>
                </w:tcPr>
                <w:p>
                  <w:pPr>
                    <w:spacing w:line="333" w:lineRule="auto"/>
                    <w:rPr>
                      <w:rFonts w:ascii="Arial"/>
                      <w:color w:val="auto"/>
                      <w:sz w:val="21"/>
                      <w:highlight w:val="none"/>
                    </w:rPr>
                  </w:pPr>
                </w:p>
                <w:p>
                  <w:pPr>
                    <w:spacing w:line="334" w:lineRule="auto"/>
                    <w:rPr>
                      <w:rFonts w:ascii="Arial"/>
                      <w:color w:val="auto"/>
                      <w:sz w:val="21"/>
                      <w:highlight w:val="none"/>
                    </w:rPr>
                  </w:pPr>
                </w:p>
                <w:p>
                  <w:pPr>
                    <w:spacing w:before="62" w:line="191" w:lineRule="auto"/>
                    <w:ind w:left="330"/>
                    <w:rPr>
                      <w:rFonts w:ascii="宋体" w:hAnsi="宋体" w:eastAsia="宋体" w:cs="宋体"/>
                      <w:color w:val="auto"/>
                      <w:sz w:val="19"/>
                      <w:szCs w:val="19"/>
                      <w:highlight w:val="none"/>
                    </w:rPr>
                  </w:pPr>
                  <w:r>
                    <w:rPr>
                      <w:rFonts w:ascii="宋体" w:hAnsi="宋体" w:eastAsia="宋体" w:cs="宋体"/>
                      <w:color w:val="auto"/>
                      <w:sz w:val="19"/>
                      <w:szCs w:val="19"/>
                      <w:highlight w:val="none"/>
                    </w:rPr>
                    <w:t>4</w:t>
                  </w:r>
                </w:p>
              </w:tc>
              <w:tc>
                <w:tcPr>
                  <w:tcW w:w="1574" w:type="dxa"/>
                  <w:gridSpan w:val="2"/>
                  <w:tcBorders>
                    <w:left w:val="single" w:color="000000" w:sz="6" w:space="0"/>
                    <w:right w:val="single" w:color="000000" w:sz="6" w:space="0"/>
                  </w:tcBorders>
                  <w:vAlign w:val="top"/>
                </w:tcPr>
                <w:p>
                  <w:pPr>
                    <w:spacing w:line="440" w:lineRule="auto"/>
                    <w:rPr>
                      <w:rFonts w:ascii="Arial"/>
                      <w:color w:val="auto"/>
                      <w:sz w:val="21"/>
                      <w:highlight w:val="none"/>
                    </w:rPr>
                  </w:pPr>
                </w:p>
                <w:p>
                  <w:pPr>
                    <w:spacing w:before="62" w:line="205" w:lineRule="auto"/>
                    <w:ind w:left="26" w:right="28" w:firstLine="12"/>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1</w:t>
                  </w:r>
                  <w:r>
                    <w:rPr>
                      <w:rFonts w:ascii="宋体" w:hAnsi="宋体" w:eastAsia="宋体" w:cs="宋体"/>
                      <w:color w:val="auto"/>
                      <w:spacing w:val="6"/>
                      <w:sz w:val="19"/>
                      <w:szCs w:val="19"/>
                      <w:highlight w:val="none"/>
                    </w:rPr>
                    <w:t>0</w:t>
                  </w:r>
                  <w:r>
                    <w:rPr>
                      <w:rFonts w:ascii="宋体" w:hAnsi="宋体" w:eastAsia="宋体" w:cs="宋体"/>
                      <w:color w:val="auto"/>
                      <w:sz w:val="19"/>
                      <w:szCs w:val="19"/>
                      <w:highlight w:val="none"/>
                    </w:rPr>
                    <w:t>kV</w:t>
                  </w:r>
                  <w:r>
                    <w:rPr>
                      <w:rFonts w:ascii="宋体" w:hAnsi="宋体" w:eastAsia="宋体" w:cs="宋体"/>
                      <w:color w:val="auto"/>
                      <w:spacing w:val="6"/>
                      <w:sz w:val="19"/>
                      <w:szCs w:val="19"/>
                      <w:highlight w:val="none"/>
                    </w:rPr>
                    <w:t>户内冷缩</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终</w:t>
                  </w:r>
                  <w:r>
                    <w:rPr>
                      <w:rFonts w:ascii="宋体" w:hAnsi="宋体" w:eastAsia="宋体" w:cs="宋体"/>
                      <w:color w:val="auto"/>
                      <w:spacing w:val="8"/>
                      <w:sz w:val="19"/>
                      <w:szCs w:val="19"/>
                      <w:highlight w:val="none"/>
                    </w:rPr>
                    <w:t>端头3*70</w:t>
                  </w:r>
                  <w:r>
                    <w:rPr>
                      <w:rFonts w:ascii="宋体" w:hAnsi="宋体" w:eastAsia="宋体" w:cs="宋体"/>
                      <w:color w:val="auto"/>
                      <w:sz w:val="19"/>
                      <w:szCs w:val="19"/>
                      <w:highlight w:val="none"/>
                    </w:rPr>
                    <w:t>mm 2</w:t>
                  </w:r>
                </w:p>
              </w:tc>
              <w:tc>
                <w:tcPr>
                  <w:tcW w:w="3318" w:type="dxa"/>
                  <w:gridSpan w:val="2"/>
                  <w:tcBorders>
                    <w:left w:val="single" w:color="000000" w:sz="6" w:space="0"/>
                    <w:right w:val="single" w:color="000000" w:sz="6" w:space="0"/>
                  </w:tcBorders>
                  <w:vAlign w:val="top"/>
                </w:tcPr>
                <w:p>
                  <w:pPr>
                    <w:spacing w:before="222" w:line="196" w:lineRule="auto"/>
                    <w:ind w:left="42"/>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1</w:t>
                  </w:r>
                  <w:r>
                    <w:rPr>
                      <w:rFonts w:ascii="宋体" w:hAnsi="宋体" w:eastAsia="宋体" w:cs="宋体"/>
                      <w:color w:val="auto"/>
                      <w:spacing w:val="4"/>
                      <w:sz w:val="19"/>
                      <w:szCs w:val="19"/>
                      <w:highlight w:val="none"/>
                    </w:rPr>
                    <w:t>.名称:电力电缆头</w:t>
                  </w:r>
                </w:p>
                <w:p>
                  <w:pPr>
                    <w:spacing w:line="189" w:lineRule="auto"/>
                    <w:ind w:left="29"/>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2</w:t>
                  </w:r>
                  <w:r>
                    <w:rPr>
                      <w:rFonts w:ascii="宋体" w:hAnsi="宋体" w:eastAsia="宋体" w:cs="宋体"/>
                      <w:color w:val="auto"/>
                      <w:spacing w:val="5"/>
                      <w:sz w:val="19"/>
                      <w:szCs w:val="19"/>
                      <w:highlight w:val="none"/>
                    </w:rPr>
                    <w:t>.型号:冷缩终端头</w:t>
                  </w:r>
                </w:p>
                <w:p>
                  <w:pPr>
                    <w:spacing w:line="188" w:lineRule="auto"/>
                    <w:ind w:left="31"/>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3.规格:3*70</w:t>
                  </w:r>
                  <w:r>
                    <w:rPr>
                      <w:rFonts w:ascii="宋体" w:hAnsi="宋体" w:eastAsia="宋体" w:cs="宋体"/>
                      <w:color w:val="auto"/>
                      <w:sz w:val="19"/>
                      <w:szCs w:val="19"/>
                      <w:highlight w:val="none"/>
                    </w:rPr>
                    <w:t>mm</w:t>
                  </w:r>
                  <w:r>
                    <w:rPr>
                      <w:rFonts w:ascii="宋体" w:hAnsi="宋体" w:eastAsia="宋体" w:cs="宋体"/>
                      <w:color w:val="auto"/>
                      <w:spacing w:val="8"/>
                      <w:sz w:val="19"/>
                      <w:szCs w:val="19"/>
                      <w:highlight w:val="none"/>
                    </w:rPr>
                    <w:t>2</w:t>
                  </w:r>
                </w:p>
                <w:p>
                  <w:pPr>
                    <w:spacing w:line="188" w:lineRule="auto"/>
                    <w:ind w:left="26"/>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4.材质、类型:铜芯</w:t>
                  </w:r>
                </w:p>
                <w:p>
                  <w:pPr>
                    <w:spacing w:line="189" w:lineRule="auto"/>
                    <w:ind w:left="31"/>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5</w:t>
                  </w:r>
                  <w:r>
                    <w:rPr>
                      <w:rFonts w:ascii="宋体" w:hAnsi="宋体" w:eastAsia="宋体" w:cs="宋体"/>
                      <w:color w:val="auto"/>
                      <w:spacing w:val="5"/>
                      <w:sz w:val="19"/>
                      <w:szCs w:val="19"/>
                      <w:highlight w:val="none"/>
                    </w:rPr>
                    <w:t>.安装部位:户内</w:t>
                  </w:r>
                </w:p>
                <w:p>
                  <w:pPr>
                    <w:spacing w:before="1"/>
                    <w:ind w:left="29"/>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6.电压等级(</w:t>
                  </w:r>
                  <w:r>
                    <w:rPr>
                      <w:rFonts w:ascii="宋体" w:hAnsi="宋体" w:eastAsia="宋体" w:cs="宋体"/>
                      <w:color w:val="auto"/>
                      <w:sz w:val="19"/>
                      <w:szCs w:val="19"/>
                      <w:highlight w:val="none"/>
                    </w:rPr>
                    <w:t>kV</w:t>
                  </w:r>
                  <w:r>
                    <w:rPr>
                      <w:rFonts w:ascii="宋体" w:hAnsi="宋体" w:eastAsia="宋体" w:cs="宋体"/>
                      <w:color w:val="auto"/>
                      <w:spacing w:val="10"/>
                      <w:sz w:val="19"/>
                      <w:szCs w:val="19"/>
                      <w:highlight w:val="none"/>
                    </w:rPr>
                    <w:t>):10</w:t>
                  </w:r>
                  <w:r>
                    <w:rPr>
                      <w:rFonts w:ascii="宋体" w:hAnsi="宋体" w:eastAsia="宋体" w:cs="宋体"/>
                      <w:color w:val="auto"/>
                      <w:sz w:val="19"/>
                      <w:szCs w:val="19"/>
                      <w:highlight w:val="none"/>
                    </w:rPr>
                    <w:t>KV</w:t>
                  </w:r>
                </w:p>
              </w:tc>
              <w:tc>
                <w:tcPr>
                  <w:tcW w:w="628" w:type="dxa"/>
                  <w:gridSpan w:val="2"/>
                  <w:tcBorders>
                    <w:left w:val="single" w:color="000000" w:sz="6" w:space="0"/>
                    <w:right w:val="single" w:color="000000" w:sz="6" w:space="0"/>
                  </w:tcBorders>
                  <w:vAlign w:val="top"/>
                </w:tcPr>
                <w:p>
                  <w:pPr>
                    <w:spacing w:line="317" w:lineRule="auto"/>
                    <w:rPr>
                      <w:rFonts w:ascii="Arial"/>
                      <w:color w:val="auto"/>
                      <w:sz w:val="21"/>
                      <w:highlight w:val="none"/>
                    </w:rPr>
                  </w:pPr>
                </w:p>
                <w:p>
                  <w:pPr>
                    <w:spacing w:line="317" w:lineRule="auto"/>
                    <w:rPr>
                      <w:rFonts w:ascii="Arial"/>
                      <w:color w:val="auto"/>
                      <w:sz w:val="21"/>
                      <w:highlight w:val="none"/>
                    </w:rPr>
                  </w:pPr>
                </w:p>
                <w:p>
                  <w:pPr>
                    <w:spacing w:before="62" w:line="229" w:lineRule="auto"/>
                    <w:ind w:left="167"/>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个</w:t>
                  </w:r>
                </w:p>
              </w:tc>
              <w:tc>
                <w:tcPr>
                  <w:tcW w:w="1110" w:type="dxa"/>
                  <w:gridSpan w:val="2"/>
                  <w:tcBorders>
                    <w:left w:val="single" w:color="000000" w:sz="6" w:space="0"/>
                    <w:right w:val="single" w:color="000000" w:sz="6" w:space="0"/>
                  </w:tcBorders>
                  <w:vAlign w:val="top"/>
                </w:tcPr>
                <w:p>
                  <w:pPr>
                    <w:spacing w:line="333" w:lineRule="auto"/>
                    <w:rPr>
                      <w:rFonts w:ascii="Arial"/>
                      <w:color w:val="auto"/>
                      <w:sz w:val="21"/>
                      <w:highlight w:val="none"/>
                    </w:rPr>
                  </w:pPr>
                </w:p>
                <w:p>
                  <w:pPr>
                    <w:spacing w:line="334" w:lineRule="auto"/>
                    <w:rPr>
                      <w:rFonts w:ascii="Arial"/>
                      <w:color w:val="auto"/>
                      <w:sz w:val="21"/>
                      <w:highlight w:val="none"/>
                    </w:rPr>
                  </w:pPr>
                </w:p>
                <w:p>
                  <w:pPr>
                    <w:spacing w:before="62" w:line="191" w:lineRule="auto"/>
                    <w:ind w:left="784"/>
                    <w:rPr>
                      <w:rFonts w:ascii="宋体" w:hAnsi="宋体" w:eastAsia="宋体" w:cs="宋体"/>
                      <w:color w:val="auto"/>
                      <w:sz w:val="19"/>
                      <w:szCs w:val="19"/>
                      <w:highlight w:val="none"/>
                    </w:rPr>
                  </w:pPr>
                  <w:r>
                    <w:rPr>
                      <w:rFonts w:ascii="宋体" w:hAnsi="宋体" w:eastAsia="宋体" w:cs="宋体"/>
                      <w:color w:val="auto"/>
                      <w:sz w:val="19"/>
                      <w:szCs w:val="19"/>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87" w:hRule="atLeast"/>
                <w:jc w:val="center"/>
              </w:trPr>
              <w:tc>
                <w:tcPr>
                  <w:tcW w:w="946" w:type="dxa"/>
                  <w:gridSpan w:val="2"/>
                  <w:tcBorders>
                    <w:left w:val="single" w:color="000000" w:sz="8" w:space="0"/>
                    <w:right w:val="single" w:color="000000" w:sz="6" w:space="0"/>
                  </w:tcBorders>
                  <w:vAlign w:val="top"/>
                </w:tcPr>
                <w:p>
                  <w:pPr>
                    <w:spacing w:line="335" w:lineRule="auto"/>
                    <w:rPr>
                      <w:rFonts w:ascii="Arial"/>
                      <w:color w:val="auto"/>
                      <w:sz w:val="21"/>
                      <w:highlight w:val="none"/>
                    </w:rPr>
                  </w:pPr>
                </w:p>
                <w:p>
                  <w:pPr>
                    <w:spacing w:line="335" w:lineRule="auto"/>
                    <w:rPr>
                      <w:rFonts w:ascii="Arial"/>
                      <w:color w:val="auto"/>
                      <w:sz w:val="21"/>
                      <w:highlight w:val="none"/>
                    </w:rPr>
                  </w:pPr>
                </w:p>
                <w:p>
                  <w:pPr>
                    <w:spacing w:before="62" w:line="188" w:lineRule="auto"/>
                    <w:ind w:left="335"/>
                    <w:rPr>
                      <w:rFonts w:ascii="宋体" w:hAnsi="宋体" w:eastAsia="宋体" w:cs="宋体"/>
                      <w:color w:val="auto"/>
                      <w:sz w:val="19"/>
                      <w:szCs w:val="19"/>
                      <w:highlight w:val="none"/>
                    </w:rPr>
                  </w:pPr>
                  <w:r>
                    <w:rPr>
                      <w:rFonts w:ascii="宋体" w:hAnsi="宋体" w:eastAsia="宋体" w:cs="宋体"/>
                      <w:color w:val="auto"/>
                      <w:sz w:val="19"/>
                      <w:szCs w:val="19"/>
                      <w:highlight w:val="none"/>
                    </w:rPr>
                    <w:t>5</w:t>
                  </w:r>
                </w:p>
              </w:tc>
              <w:tc>
                <w:tcPr>
                  <w:tcW w:w="1574" w:type="dxa"/>
                  <w:gridSpan w:val="2"/>
                  <w:tcBorders>
                    <w:left w:val="single" w:color="000000" w:sz="6" w:space="0"/>
                    <w:right w:val="single" w:color="000000" w:sz="6" w:space="0"/>
                  </w:tcBorders>
                  <w:vAlign w:val="top"/>
                </w:tcPr>
                <w:p>
                  <w:pPr>
                    <w:spacing w:line="273" w:lineRule="auto"/>
                    <w:rPr>
                      <w:rFonts w:ascii="Arial"/>
                      <w:color w:val="auto"/>
                      <w:sz w:val="21"/>
                      <w:highlight w:val="none"/>
                    </w:rPr>
                  </w:pPr>
                </w:p>
                <w:p>
                  <w:pPr>
                    <w:spacing w:line="273" w:lineRule="auto"/>
                    <w:rPr>
                      <w:rFonts w:ascii="Arial"/>
                      <w:color w:val="auto"/>
                      <w:sz w:val="21"/>
                      <w:highlight w:val="none"/>
                    </w:rPr>
                  </w:pPr>
                </w:p>
                <w:p>
                  <w:pPr>
                    <w:spacing w:before="62" w:line="209" w:lineRule="auto"/>
                    <w:ind w:left="27" w:right="34" w:firstLine="11"/>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1</w:t>
                  </w:r>
                  <w:r>
                    <w:rPr>
                      <w:rFonts w:ascii="宋体" w:hAnsi="宋体" w:eastAsia="宋体" w:cs="宋体"/>
                      <w:color w:val="auto"/>
                      <w:spacing w:val="6"/>
                      <w:sz w:val="19"/>
                      <w:szCs w:val="19"/>
                      <w:highlight w:val="none"/>
                    </w:rPr>
                    <w:t>0</w:t>
                  </w:r>
                  <w:r>
                    <w:rPr>
                      <w:rFonts w:ascii="宋体" w:hAnsi="宋体" w:eastAsia="宋体" w:cs="宋体"/>
                      <w:color w:val="auto"/>
                      <w:sz w:val="19"/>
                      <w:szCs w:val="19"/>
                      <w:highlight w:val="none"/>
                    </w:rPr>
                    <w:t>kV</w:t>
                  </w:r>
                  <w:r>
                    <w:rPr>
                      <w:rFonts w:ascii="宋体" w:hAnsi="宋体" w:eastAsia="宋体" w:cs="宋体"/>
                      <w:color w:val="auto"/>
                      <w:spacing w:val="6"/>
                      <w:sz w:val="19"/>
                      <w:szCs w:val="19"/>
                      <w:highlight w:val="none"/>
                    </w:rPr>
                    <w:t>户内肘形</w:t>
                  </w:r>
                  <w:r>
                    <w:rPr>
                      <w:rFonts w:ascii="宋体" w:hAnsi="宋体" w:eastAsia="宋体" w:cs="宋体"/>
                      <w:color w:val="auto"/>
                      <w:sz w:val="19"/>
                      <w:szCs w:val="19"/>
                      <w:highlight w:val="none"/>
                    </w:rPr>
                    <w:t xml:space="preserve"> </w:t>
                  </w:r>
                  <w:r>
                    <w:rPr>
                      <w:rFonts w:ascii="宋体" w:hAnsi="宋体" w:eastAsia="宋体" w:cs="宋体"/>
                      <w:color w:val="auto"/>
                      <w:spacing w:val="12"/>
                      <w:sz w:val="19"/>
                      <w:szCs w:val="19"/>
                      <w:highlight w:val="none"/>
                    </w:rPr>
                    <w:t>头</w:t>
                  </w:r>
                  <w:r>
                    <w:rPr>
                      <w:rFonts w:ascii="宋体" w:hAnsi="宋体" w:eastAsia="宋体" w:cs="宋体"/>
                      <w:color w:val="auto"/>
                      <w:spacing w:val="9"/>
                      <w:sz w:val="19"/>
                      <w:szCs w:val="19"/>
                      <w:highlight w:val="none"/>
                    </w:rPr>
                    <w:t>3*70</w:t>
                  </w:r>
                  <w:r>
                    <w:rPr>
                      <w:rFonts w:ascii="宋体" w:hAnsi="宋体" w:eastAsia="宋体" w:cs="宋体"/>
                      <w:color w:val="auto"/>
                      <w:sz w:val="19"/>
                      <w:szCs w:val="19"/>
                      <w:highlight w:val="none"/>
                    </w:rPr>
                    <w:t>mm</w:t>
                  </w:r>
                  <w:r>
                    <w:rPr>
                      <w:rFonts w:ascii="宋体" w:hAnsi="宋体" w:eastAsia="宋体" w:cs="宋体"/>
                      <w:color w:val="auto"/>
                      <w:spacing w:val="9"/>
                      <w:sz w:val="19"/>
                      <w:szCs w:val="19"/>
                      <w:highlight w:val="none"/>
                    </w:rPr>
                    <w:t>2</w:t>
                  </w:r>
                </w:p>
              </w:tc>
              <w:tc>
                <w:tcPr>
                  <w:tcW w:w="3318" w:type="dxa"/>
                  <w:gridSpan w:val="2"/>
                  <w:tcBorders>
                    <w:left w:val="single" w:color="000000" w:sz="6" w:space="0"/>
                    <w:right w:val="single" w:color="000000" w:sz="6" w:space="0"/>
                  </w:tcBorders>
                  <w:vAlign w:val="top"/>
                </w:tcPr>
                <w:p>
                  <w:pPr>
                    <w:spacing w:before="222" w:line="197" w:lineRule="auto"/>
                    <w:ind w:left="42"/>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1</w:t>
                  </w:r>
                  <w:r>
                    <w:rPr>
                      <w:rFonts w:ascii="宋体" w:hAnsi="宋体" w:eastAsia="宋体" w:cs="宋体"/>
                      <w:color w:val="auto"/>
                      <w:spacing w:val="4"/>
                      <w:sz w:val="19"/>
                      <w:szCs w:val="19"/>
                      <w:highlight w:val="none"/>
                    </w:rPr>
                    <w:t>.名称:电力电缆头</w:t>
                  </w:r>
                </w:p>
                <w:p>
                  <w:pPr>
                    <w:spacing w:line="188" w:lineRule="auto"/>
                    <w:ind w:left="29"/>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2.型号:肘形</w:t>
                  </w:r>
                  <w:r>
                    <w:rPr>
                      <w:rFonts w:ascii="宋体" w:hAnsi="宋体" w:eastAsia="宋体" w:cs="宋体"/>
                      <w:color w:val="auto"/>
                      <w:spacing w:val="5"/>
                      <w:sz w:val="19"/>
                      <w:szCs w:val="19"/>
                      <w:highlight w:val="none"/>
                    </w:rPr>
                    <w:t>头</w:t>
                  </w:r>
                </w:p>
                <w:p>
                  <w:pPr>
                    <w:spacing w:line="188" w:lineRule="auto"/>
                    <w:ind w:left="31"/>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3.规格:3*70</w:t>
                  </w:r>
                  <w:r>
                    <w:rPr>
                      <w:rFonts w:ascii="宋体" w:hAnsi="宋体" w:eastAsia="宋体" w:cs="宋体"/>
                      <w:color w:val="auto"/>
                      <w:sz w:val="19"/>
                      <w:szCs w:val="19"/>
                      <w:highlight w:val="none"/>
                    </w:rPr>
                    <w:t>mm</w:t>
                  </w:r>
                  <w:r>
                    <w:rPr>
                      <w:rFonts w:ascii="宋体" w:hAnsi="宋体" w:eastAsia="宋体" w:cs="宋体"/>
                      <w:color w:val="auto"/>
                      <w:spacing w:val="8"/>
                      <w:sz w:val="19"/>
                      <w:szCs w:val="19"/>
                      <w:highlight w:val="none"/>
                    </w:rPr>
                    <w:t>2</w:t>
                  </w:r>
                </w:p>
                <w:p>
                  <w:pPr>
                    <w:spacing w:line="189" w:lineRule="auto"/>
                    <w:ind w:left="26"/>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4.材质、类型:铜芯</w:t>
                  </w:r>
                </w:p>
                <w:p>
                  <w:pPr>
                    <w:spacing w:before="1" w:line="188" w:lineRule="auto"/>
                    <w:ind w:left="31"/>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5</w:t>
                  </w:r>
                  <w:r>
                    <w:rPr>
                      <w:rFonts w:ascii="宋体" w:hAnsi="宋体" w:eastAsia="宋体" w:cs="宋体"/>
                      <w:color w:val="auto"/>
                      <w:spacing w:val="5"/>
                      <w:sz w:val="19"/>
                      <w:szCs w:val="19"/>
                      <w:highlight w:val="none"/>
                    </w:rPr>
                    <w:t>.安装部位:户内</w:t>
                  </w:r>
                </w:p>
                <w:p>
                  <w:pPr>
                    <w:spacing w:line="241" w:lineRule="auto"/>
                    <w:ind w:left="29"/>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6.电压等级(</w:t>
                  </w:r>
                  <w:r>
                    <w:rPr>
                      <w:rFonts w:ascii="宋体" w:hAnsi="宋体" w:eastAsia="宋体" w:cs="宋体"/>
                      <w:color w:val="auto"/>
                      <w:sz w:val="19"/>
                      <w:szCs w:val="19"/>
                      <w:highlight w:val="none"/>
                    </w:rPr>
                    <w:t>kV</w:t>
                  </w:r>
                  <w:r>
                    <w:rPr>
                      <w:rFonts w:ascii="宋体" w:hAnsi="宋体" w:eastAsia="宋体" w:cs="宋体"/>
                      <w:color w:val="auto"/>
                      <w:spacing w:val="10"/>
                      <w:sz w:val="19"/>
                      <w:szCs w:val="19"/>
                      <w:highlight w:val="none"/>
                    </w:rPr>
                    <w:t>):10</w:t>
                  </w:r>
                  <w:r>
                    <w:rPr>
                      <w:rFonts w:ascii="宋体" w:hAnsi="宋体" w:eastAsia="宋体" w:cs="宋体"/>
                      <w:color w:val="auto"/>
                      <w:sz w:val="19"/>
                      <w:szCs w:val="19"/>
                      <w:highlight w:val="none"/>
                    </w:rPr>
                    <w:t>KV</w:t>
                  </w:r>
                </w:p>
              </w:tc>
              <w:tc>
                <w:tcPr>
                  <w:tcW w:w="628" w:type="dxa"/>
                  <w:gridSpan w:val="2"/>
                  <w:tcBorders>
                    <w:left w:val="single" w:color="000000" w:sz="6" w:space="0"/>
                    <w:right w:val="single" w:color="000000" w:sz="6" w:space="0"/>
                  </w:tcBorders>
                  <w:vAlign w:val="top"/>
                </w:tcPr>
                <w:p>
                  <w:pPr>
                    <w:spacing w:line="317" w:lineRule="auto"/>
                    <w:rPr>
                      <w:rFonts w:ascii="Arial"/>
                      <w:color w:val="auto"/>
                      <w:sz w:val="21"/>
                      <w:highlight w:val="none"/>
                    </w:rPr>
                  </w:pPr>
                </w:p>
                <w:p>
                  <w:pPr>
                    <w:spacing w:line="318" w:lineRule="auto"/>
                    <w:rPr>
                      <w:rFonts w:ascii="Arial"/>
                      <w:color w:val="auto"/>
                      <w:sz w:val="21"/>
                      <w:highlight w:val="none"/>
                    </w:rPr>
                  </w:pPr>
                </w:p>
                <w:p>
                  <w:pPr>
                    <w:spacing w:before="62" w:line="229" w:lineRule="auto"/>
                    <w:ind w:left="167"/>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个</w:t>
                  </w:r>
                </w:p>
              </w:tc>
              <w:tc>
                <w:tcPr>
                  <w:tcW w:w="1110" w:type="dxa"/>
                  <w:gridSpan w:val="2"/>
                  <w:tcBorders>
                    <w:left w:val="single" w:color="000000" w:sz="6" w:space="0"/>
                    <w:right w:val="single" w:color="000000" w:sz="6" w:space="0"/>
                  </w:tcBorders>
                  <w:vAlign w:val="top"/>
                </w:tcPr>
                <w:p>
                  <w:pPr>
                    <w:spacing w:line="334" w:lineRule="auto"/>
                    <w:rPr>
                      <w:rFonts w:ascii="Arial"/>
                      <w:color w:val="auto"/>
                      <w:sz w:val="21"/>
                      <w:highlight w:val="none"/>
                    </w:rPr>
                  </w:pPr>
                </w:p>
                <w:p>
                  <w:pPr>
                    <w:spacing w:line="334" w:lineRule="auto"/>
                    <w:rPr>
                      <w:rFonts w:ascii="Arial"/>
                      <w:color w:val="auto"/>
                      <w:sz w:val="21"/>
                      <w:highlight w:val="none"/>
                    </w:rPr>
                  </w:pPr>
                </w:p>
                <w:p>
                  <w:pPr>
                    <w:spacing w:before="62" w:line="191" w:lineRule="auto"/>
                    <w:ind w:left="796"/>
                    <w:rPr>
                      <w:rFonts w:ascii="宋体" w:hAnsi="宋体" w:eastAsia="宋体" w:cs="宋体"/>
                      <w:color w:val="auto"/>
                      <w:sz w:val="19"/>
                      <w:szCs w:val="19"/>
                      <w:highlight w:val="none"/>
                    </w:rPr>
                  </w:pPr>
                  <w:r>
                    <w:rPr>
                      <w:rFonts w:ascii="宋体" w:hAnsi="宋体" w:eastAsia="宋体" w:cs="宋体"/>
                      <w:color w:val="auto"/>
                      <w:spacing w:val="-8"/>
                      <w:w w:val="89"/>
                      <w:sz w:val="19"/>
                      <w:szCs w:val="19"/>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jc w:val="center"/>
              </w:trPr>
              <w:tc>
                <w:tcPr>
                  <w:tcW w:w="946" w:type="dxa"/>
                  <w:gridSpan w:val="2"/>
                  <w:tcBorders>
                    <w:left w:val="single" w:color="000000" w:sz="8" w:space="0"/>
                    <w:right w:val="single" w:color="000000" w:sz="6" w:space="0"/>
                  </w:tcBorders>
                  <w:vAlign w:val="top"/>
                </w:tcPr>
                <w:p>
                  <w:pPr>
                    <w:spacing w:line="275" w:lineRule="auto"/>
                    <w:rPr>
                      <w:rFonts w:ascii="Arial"/>
                      <w:color w:val="auto"/>
                      <w:sz w:val="21"/>
                      <w:highlight w:val="none"/>
                    </w:rPr>
                  </w:pPr>
                </w:p>
                <w:p>
                  <w:pPr>
                    <w:spacing w:line="276" w:lineRule="auto"/>
                    <w:rPr>
                      <w:rFonts w:ascii="Arial"/>
                      <w:color w:val="auto"/>
                      <w:sz w:val="21"/>
                      <w:highlight w:val="none"/>
                    </w:rPr>
                  </w:pPr>
                </w:p>
                <w:p>
                  <w:pPr>
                    <w:spacing w:before="61" w:line="189" w:lineRule="auto"/>
                    <w:ind w:left="333"/>
                    <w:rPr>
                      <w:rFonts w:ascii="宋体" w:hAnsi="宋体" w:eastAsia="宋体" w:cs="宋体"/>
                      <w:color w:val="auto"/>
                      <w:sz w:val="19"/>
                      <w:szCs w:val="19"/>
                      <w:highlight w:val="none"/>
                    </w:rPr>
                  </w:pPr>
                  <w:r>
                    <w:rPr>
                      <w:rFonts w:ascii="宋体" w:hAnsi="宋体" w:eastAsia="宋体" w:cs="宋体"/>
                      <w:color w:val="auto"/>
                      <w:sz w:val="19"/>
                      <w:szCs w:val="19"/>
                      <w:highlight w:val="none"/>
                    </w:rPr>
                    <w:t>6</w:t>
                  </w:r>
                </w:p>
              </w:tc>
              <w:tc>
                <w:tcPr>
                  <w:tcW w:w="1574" w:type="dxa"/>
                  <w:gridSpan w:val="2"/>
                  <w:tcBorders>
                    <w:left w:val="single" w:color="000000" w:sz="6" w:space="0"/>
                    <w:right w:val="single" w:color="000000" w:sz="6" w:space="0"/>
                  </w:tcBorders>
                  <w:vAlign w:val="top"/>
                </w:tcPr>
                <w:p>
                  <w:pPr>
                    <w:spacing w:line="323" w:lineRule="auto"/>
                    <w:rPr>
                      <w:rFonts w:ascii="Arial"/>
                      <w:color w:val="auto"/>
                      <w:sz w:val="21"/>
                      <w:highlight w:val="none"/>
                    </w:rPr>
                  </w:pPr>
                </w:p>
                <w:p>
                  <w:pPr>
                    <w:spacing w:before="62" w:line="218" w:lineRule="auto"/>
                    <w:ind w:left="38" w:right="44" w:hanging="13"/>
                    <w:rPr>
                      <w:rFonts w:ascii="宋体" w:hAnsi="宋体" w:eastAsia="宋体" w:cs="宋体"/>
                      <w:color w:val="auto"/>
                      <w:sz w:val="19"/>
                      <w:szCs w:val="19"/>
                      <w:highlight w:val="none"/>
                    </w:rPr>
                  </w:pPr>
                  <w:r>
                    <w:rPr>
                      <w:rFonts w:ascii="宋体" w:hAnsi="宋体" w:eastAsia="宋体" w:cs="宋体"/>
                      <w:color w:val="auto"/>
                      <w:spacing w:val="12"/>
                      <w:sz w:val="19"/>
                      <w:szCs w:val="19"/>
                      <w:highlight w:val="none"/>
                    </w:rPr>
                    <w:t>单</w:t>
                  </w:r>
                  <w:r>
                    <w:rPr>
                      <w:rFonts w:ascii="宋体" w:hAnsi="宋体" w:eastAsia="宋体" w:cs="宋体"/>
                      <w:color w:val="auto"/>
                      <w:spacing w:val="10"/>
                      <w:sz w:val="19"/>
                      <w:szCs w:val="19"/>
                      <w:highlight w:val="none"/>
                    </w:rPr>
                    <w:t>线顶管</w:t>
                  </w:r>
                  <w:r>
                    <w:rPr>
                      <w:rFonts w:ascii="宋体" w:hAnsi="宋体" w:eastAsia="宋体" w:cs="宋体"/>
                      <w:color w:val="auto"/>
                      <w:sz w:val="19"/>
                      <w:szCs w:val="19"/>
                      <w:highlight w:val="none"/>
                    </w:rPr>
                    <w:t xml:space="preserve">HDPE </w:t>
                  </w:r>
                  <w:r>
                    <w:rPr>
                      <w:rFonts w:ascii="宋体" w:hAnsi="宋体" w:eastAsia="宋体" w:cs="宋体"/>
                      <w:color w:val="auto"/>
                      <w:spacing w:val="10"/>
                      <w:sz w:val="19"/>
                      <w:szCs w:val="19"/>
                      <w:highlight w:val="none"/>
                    </w:rPr>
                    <w:t>1</w:t>
                  </w:r>
                  <w:r>
                    <w:rPr>
                      <w:rFonts w:ascii="宋体" w:hAnsi="宋体" w:eastAsia="宋体" w:cs="宋体"/>
                      <w:color w:val="auto"/>
                      <w:spacing w:val="8"/>
                      <w:sz w:val="19"/>
                      <w:szCs w:val="19"/>
                      <w:highlight w:val="none"/>
                    </w:rPr>
                    <w:t>60*10</w:t>
                  </w:r>
                  <w:r>
                    <w:rPr>
                      <w:rFonts w:ascii="宋体" w:hAnsi="宋体" w:eastAsia="宋体" w:cs="宋体"/>
                      <w:color w:val="auto"/>
                      <w:sz w:val="19"/>
                      <w:szCs w:val="19"/>
                      <w:highlight w:val="none"/>
                    </w:rPr>
                    <w:t>mm</w:t>
                  </w:r>
                </w:p>
              </w:tc>
              <w:tc>
                <w:tcPr>
                  <w:tcW w:w="3318" w:type="dxa"/>
                  <w:gridSpan w:val="2"/>
                  <w:tcBorders>
                    <w:left w:val="single" w:color="000000" w:sz="6" w:space="0"/>
                    <w:right w:val="single" w:color="000000" w:sz="6" w:space="0"/>
                  </w:tcBorders>
                  <w:vAlign w:val="top"/>
                </w:tcPr>
                <w:p>
                  <w:pPr>
                    <w:numPr>
                      <w:ilvl w:val="0"/>
                      <w:numId w:val="1"/>
                    </w:numPr>
                    <w:spacing w:before="193" w:line="197" w:lineRule="auto"/>
                    <w:ind w:left="28" w:right="147" w:firstLine="13"/>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土壤类别:一、二类</w:t>
                  </w:r>
                  <w:r>
                    <w:rPr>
                      <w:rFonts w:ascii="宋体" w:hAnsi="宋体" w:eastAsia="宋体" w:cs="宋体"/>
                      <w:color w:val="auto"/>
                      <w:sz w:val="19"/>
                      <w:szCs w:val="19"/>
                      <w:highlight w:val="none"/>
                    </w:rPr>
                    <w:t xml:space="preserve">      </w:t>
                  </w:r>
                </w:p>
                <w:p>
                  <w:pPr>
                    <w:numPr>
                      <w:ilvl w:val="0"/>
                      <w:numId w:val="0"/>
                    </w:numPr>
                    <w:spacing w:before="193" w:line="197" w:lineRule="auto"/>
                    <w:ind w:left="41" w:leftChars="0" w:right="147" w:rightChars="0"/>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2</w:t>
                  </w:r>
                  <w:r>
                    <w:rPr>
                      <w:rFonts w:ascii="宋体" w:hAnsi="宋体" w:eastAsia="宋体" w:cs="宋体"/>
                      <w:color w:val="auto"/>
                      <w:spacing w:val="5"/>
                      <w:sz w:val="19"/>
                      <w:szCs w:val="19"/>
                      <w:highlight w:val="none"/>
                    </w:rPr>
                    <w:t>.顶管工作方式:普通钻导向</w:t>
                  </w:r>
                  <w:r>
                    <w:rPr>
                      <w:rFonts w:ascii="宋体" w:hAnsi="宋体" w:eastAsia="宋体" w:cs="宋体"/>
                      <w:color w:val="auto"/>
                      <w:sz w:val="19"/>
                      <w:szCs w:val="19"/>
                      <w:highlight w:val="none"/>
                    </w:rPr>
                    <w:t xml:space="preserve">孔                        </w:t>
                  </w:r>
                  <w:r>
                    <w:rPr>
                      <w:rFonts w:ascii="宋体" w:hAnsi="宋体" w:eastAsia="宋体" w:cs="宋体"/>
                      <w:color w:val="auto"/>
                      <w:spacing w:val="9"/>
                      <w:sz w:val="19"/>
                      <w:szCs w:val="19"/>
                      <w:highlight w:val="none"/>
                    </w:rPr>
                    <w:t>3.管道材质及规格:</w:t>
                  </w:r>
                  <w:r>
                    <w:rPr>
                      <w:rFonts w:ascii="宋体" w:hAnsi="宋体" w:eastAsia="宋体" w:cs="宋体"/>
                      <w:color w:val="auto"/>
                      <w:sz w:val="19"/>
                      <w:szCs w:val="19"/>
                      <w:highlight w:val="none"/>
                    </w:rPr>
                    <w:t>HDPE</w:t>
                  </w:r>
                  <w:r>
                    <w:rPr>
                      <w:rFonts w:ascii="宋体" w:hAnsi="宋体" w:eastAsia="宋体" w:cs="宋体"/>
                      <w:color w:val="auto"/>
                      <w:spacing w:val="9"/>
                      <w:sz w:val="19"/>
                      <w:szCs w:val="19"/>
                      <w:highlight w:val="none"/>
                    </w:rPr>
                    <w:t>塑</w:t>
                  </w:r>
                  <w:r>
                    <w:rPr>
                      <w:rFonts w:ascii="宋体" w:hAnsi="宋体" w:eastAsia="宋体" w:cs="宋体"/>
                      <w:color w:val="auto"/>
                      <w:spacing w:val="7"/>
                      <w:sz w:val="19"/>
                      <w:szCs w:val="19"/>
                      <w:highlight w:val="none"/>
                    </w:rPr>
                    <w:t>料</w:t>
                  </w:r>
                  <w:r>
                    <w:rPr>
                      <w:rFonts w:ascii="宋体" w:hAnsi="宋体" w:eastAsia="宋体" w:cs="宋体"/>
                      <w:color w:val="auto"/>
                      <w:spacing w:val="10"/>
                      <w:sz w:val="19"/>
                      <w:szCs w:val="19"/>
                      <w:highlight w:val="none"/>
                    </w:rPr>
                    <w:t>管160*1</w:t>
                  </w:r>
                  <w:r>
                    <w:rPr>
                      <w:rFonts w:ascii="宋体" w:hAnsi="宋体" w:eastAsia="宋体" w:cs="宋体"/>
                      <w:color w:val="auto"/>
                      <w:spacing w:val="9"/>
                      <w:sz w:val="19"/>
                      <w:szCs w:val="19"/>
                      <w:highlight w:val="none"/>
                    </w:rPr>
                    <w:t>0</w:t>
                  </w:r>
                  <w:r>
                    <w:rPr>
                      <w:rFonts w:ascii="宋体" w:hAnsi="宋体" w:eastAsia="宋体" w:cs="宋体"/>
                      <w:color w:val="auto"/>
                      <w:sz w:val="19"/>
                      <w:szCs w:val="19"/>
                      <w:highlight w:val="none"/>
                    </w:rPr>
                    <w:t>mm</w:t>
                  </w:r>
                </w:p>
              </w:tc>
              <w:tc>
                <w:tcPr>
                  <w:tcW w:w="628" w:type="dxa"/>
                  <w:gridSpan w:val="2"/>
                  <w:tcBorders>
                    <w:left w:val="single" w:color="000000" w:sz="6" w:space="0"/>
                    <w:right w:val="single" w:color="000000" w:sz="6" w:space="0"/>
                  </w:tcBorders>
                  <w:vAlign w:val="top"/>
                </w:tcPr>
                <w:p>
                  <w:pPr>
                    <w:spacing w:line="258" w:lineRule="auto"/>
                    <w:rPr>
                      <w:rFonts w:ascii="Arial"/>
                      <w:color w:val="auto"/>
                      <w:sz w:val="21"/>
                      <w:highlight w:val="none"/>
                    </w:rPr>
                  </w:pPr>
                </w:p>
                <w:p>
                  <w:pPr>
                    <w:spacing w:line="259" w:lineRule="auto"/>
                    <w:rPr>
                      <w:rFonts w:ascii="Arial"/>
                      <w:color w:val="auto"/>
                      <w:sz w:val="21"/>
                      <w:highlight w:val="none"/>
                    </w:rPr>
                  </w:pPr>
                </w:p>
                <w:p>
                  <w:pPr>
                    <w:spacing w:before="62" w:line="258" w:lineRule="exact"/>
                    <w:ind w:left="206"/>
                    <w:rPr>
                      <w:rFonts w:ascii="宋体" w:hAnsi="宋体" w:eastAsia="宋体" w:cs="宋体"/>
                      <w:color w:val="auto"/>
                      <w:sz w:val="19"/>
                      <w:szCs w:val="19"/>
                      <w:highlight w:val="none"/>
                    </w:rPr>
                  </w:pPr>
                  <w:r>
                    <w:rPr>
                      <w:rFonts w:ascii="宋体" w:hAnsi="宋体" w:eastAsia="宋体" w:cs="宋体"/>
                      <w:color w:val="auto"/>
                      <w:spacing w:val="2"/>
                      <w:position w:val="3"/>
                      <w:sz w:val="19"/>
                      <w:szCs w:val="19"/>
                      <w:highlight w:val="none"/>
                    </w:rPr>
                    <w:t>m</w:t>
                  </w:r>
                </w:p>
              </w:tc>
              <w:tc>
                <w:tcPr>
                  <w:tcW w:w="1110" w:type="dxa"/>
                  <w:gridSpan w:val="2"/>
                  <w:tcBorders>
                    <w:left w:val="single" w:color="000000" w:sz="6" w:space="0"/>
                    <w:right w:val="single" w:color="000000" w:sz="6" w:space="0"/>
                  </w:tcBorders>
                  <w:vAlign w:val="top"/>
                </w:tcPr>
                <w:p>
                  <w:pPr>
                    <w:spacing w:line="275" w:lineRule="auto"/>
                    <w:rPr>
                      <w:rFonts w:ascii="Arial"/>
                      <w:color w:val="auto"/>
                      <w:sz w:val="21"/>
                      <w:highlight w:val="none"/>
                    </w:rPr>
                  </w:pPr>
                </w:p>
                <w:p>
                  <w:pPr>
                    <w:spacing w:line="275" w:lineRule="auto"/>
                    <w:rPr>
                      <w:rFonts w:ascii="Arial"/>
                      <w:color w:val="auto"/>
                      <w:sz w:val="21"/>
                      <w:highlight w:val="none"/>
                    </w:rPr>
                  </w:pPr>
                </w:p>
                <w:p>
                  <w:pPr>
                    <w:spacing w:before="61" w:line="190" w:lineRule="auto"/>
                    <w:ind w:left="587"/>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w:t>
                  </w:r>
                  <w:r>
                    <w:rPr>
                      <w:rFonts w:ascii="宋体" w:hAnsi="宋体" w:eastAsia="宋体" w:cs="宋体"/>
                      <w:color w:val="auto"/>
                      <w:sz w:val="19"/>
                      <w:szCs w:val="19"/>
                      <w:highlight w:val="none"/>
                    </w:rPr>
                    <w:t>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jc w:val="center"/>
              </w:trPr>
              <w:tc>
                <w:tcPr>
                  <w:tcW w:w="946" w:type="dxa"/>
                  <w:gridSpan w:val="2"/>
                  <w:tcBorders>
                    <w:left w:val="single" w:color="000000" w:sz="8" w:space="0"/>
                    <w:right w:val="single" w:color="000000" w:sz="6" w:space="0"/>
                  </w:tcBorders>
                  <w:vAlign w:val="top"/>
                </w:tcPr>
                <w:p>
                  <w:pPr>
                    <w:spacing w:line="418" w:lineRule="auto"/>
                    <w:rPr>
                      <w:rFonts w:ascii="Arial"/>
                      <w:color w:val="auto"/>
                      <w:sz w:val="21"/>
                      <w:highlight w:val="none"/>
                    </w:rPr>
                  </w:pPr>
                </w:p>
                <w:p>
                  <w:pPr>
                    <w:spacing w:before="62" w:line="188" w:lineRule="auto"/>
                    <w:ind w:left="336"/>
                    <w:rPr>
                      <w:rFonts w:ascii="宋体" w:hAnsi="宋体" w:eastAsia="宋体" w:cs="宋体"/>
                      <w:color w:val="auto"/>
                      <w:sz w:val="19"/>
                      <w:szCs w:val="19"/>
                      <w:highlight w:val="none"/>
                    </w:rPr>
                  </w:pPr>
                  <w:r>
                    <w:rPr>
                      <w:rFonts w:ascii="宋体" w:hAnsi="宋体" w:eastAsia="宋体" w:cs="宋体"/>
                      <w:color w:val="auto"/>
                      <w:sz w:val="19"/>
                      <w:szCs w:val="19"/>
                      <w:highlight w:val="none"/>
                    </w:rPr>
                    <w:t>7</w:t>
                  </w:r>
                </w:p>
              </w:tc>
              <w:tc>
                <w:tcPr>
                  <w:tcW w:w="1574" w:type="dxa"/>
                  <w:gridSpan w:val="2"/>
                  <w:tcBorders>
                    <w:left w:val="single" w:color="000000" w:sz="6" w:space="0"/>
                    <w:right w:val="single" w:color="000000" w:sz="6" w:space="0"/>
                  </w:tcBorders>
                  <w:vAlign w:val="top"/>
                </w:tcPr>
                <w:p>
                  <w:pPr>
                    <w:spacing w:line="293" w:lineRule="auto"/>
                    <w:rPr>
                      <w:rFonts w:ascii="Arial"/>
                      <w:color w:val="auto"/>
                      <w:sz w:val="21"/>
                      <w:highlight w:val="none"/>
                    </w:rPr>
                  </w:pPr>
                </w:p>
                <w:p>
                  <w:pPr>
                    <w:spacing w:before="62" w:line="209" w:lineRule="auto"/>
                    <w:ind w:left="27" w:right="46" w:firstLine="11"/>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1层2列行车</w:t>
                  </w:r>
                  <w:r>
                    <w:rPr>
                      <w:rFonts w:ascii="宋体" w:hAnsi="宋体" w:eastAsia="宋体" w:cs="宋体"/>
                      <w:color w:val="auto"/>
                      <w:spacing w:val="3"/>
                      <w:sz w:val="19"/>
                      <w:szCs w:val="19"/>
                      <w:highlight w:val="none"/>
                    </w:rPr>
                    <w:t>转</w:t>
                  </w:r>
                  <w:r>
                    <w:rPr>
                      <w:rFonts w:ascii="宋体" w:hAnsi="宋体" w:eastAsia="宋体" w:cs="宋体"/>
                      <w:color w:val="auto"/>
                      <w:sz w:val="19"/>
                      <w:szCs w:val="19"/>
                      <w:highlight w:val="none"/>
                    </w:rPr>
                    <w:t xml:space="preserve"> </w:t>
                  </w:r>
                  <w:r>
                    <w:rPr>
                      <w:rFonts w:ascii="宋体" w:hAnsi="宋体" w:eastAsia="宋体" w:cs="宋体"/>
                      <w:color w:val="auto"/>
                      <w:spacing w:val="1"/>
                      <w:sz w:val="19"/>
                      <w:szCs w:val="19"/>
                      <w:highlight w:val="none"/>
                    </w:rPr>
                    <w:t>角井</w:t>
                  </w:r>
                </w:p>
              </w:tc>
              <w:tc>
                <w:tcPr>
                  <w:tcW w:w="3318" w:type="dxa"/>
                  <w:gridSpan w:val="2"/>
                  <w:tcBorders>
                    <w:left w:val="single" w:color="000000" w:sz="6" w:space="0"/>
                    <w:right w:val="single" w:color="000000" w:sz="6" w:space="0"/>
                  </w:tcBorders>
                  <w:vAlign w:val="top"/>
                </w:tcPr>
                <w:p>
                  <w:pPr>
                    <w:numPr>
                      <w:ilvl w:val="0"/>
                      <w:numId w:val="2"/>
                    </w:numPr>
                    <w:spacing w:before="163" w:line="199" w:lineRule="auto"/>
                    <w:ind w:left="28" w:right="173" w:firstLine="13"/>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名称:1层2列行车转角井</w:t>
                  </w:r>
                  <w:r>
                    <w:rPr>
                      <w:rFonts w:ascii="宋体" w:hAnsi="宋体" w:eastAsia="宋体" w:cs="宋体"/>
                      <w:color w:val="auto"/>
                      <w:sz w:val="19"/>
                      <w:szCs w:val="19"/>
                      <w:highlight w:val="none"/>
                    </w:rPr>
                    <w:t xml:space="preserve">  </w:t>
                  </w:r>
                </w:p>
                <w:p>
                  <w:pPr>
                    <w:numPr>
                      <w:ilvl w:val="0"/>
                      <w:numId w:val="2"/>
                    </w:numPr>
                    <w:spacing w:before="163" w:line="199" w:lineRule="auto"/>
                    <w:ind w:left="28" w:leftChars="0" w:right="173" w:rightChars="0" w:firstLine="13" w:firstLineChars="0"/>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类型:钢筋混凝土</w:t>
                  </w:r>
                  <w:r>
                    <w:rPr>
                      <w:rFonts w:ascii="宋体" w:hAnsi="宋体" w:eastAsia="宋体" w:cs="宋体"/>
                      <w:color w:val="auto"/>
                      <w:sz w:val="19"/>
                      <w:szCs w:val="19"/>
                      <w:highlight w:val="none"/>
                    </w:rPr>
                    <w:t xml:space="preserve">        </w:t>
                  </w:r>
                </w:p>
                <w:p>
                  <w:pPr>
                    <w:numPr>
                      <w:ilvl w:val="0"/>
                      <w:numId w:val="0"/>
                    </w:numPr>
                    <w:spacing w:before="163" w:line="199" w:lineRule="auto"/>
                    <w:ind w:left="41" w:leftChars="0" w:right="173" w:rightChars="0"/>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3</w:t>
                  </w:r>
                  <w:r>
                    <w:rPr>
                      <w:rFonts w:ascii="宋体" w:hAnsi="宋体" w:eastAsia="宋体" w:cs="宋体"/>
                      <w:color w:val="auto"/>
                      <w:spacing w:val="5"/>
                      <w:sz w:val="19"/>
                      <w:szCs w:val="19"/>
                      <w:highlight w:val="none"/>
                    </w:rPr>
                    <w:t>.盖板:热镀锌包边钢筋混凝</w:t>
                  </w:r>
                  <w:r>
                    <w:rPr>
                      <w:rFonts w:ascii="宋体" w:hAnsi="宋体" w:eastAsia="宋体" w:cs="宋体"/>
                      <w:color w:val="auto"/>
                      <w:spacing w:val="21"/>
                      <w:sz w:val="19"/>
                      <w:szCs w:val="19"/>
                      <w:highlight w:val="none"/>
                    </w:rPr>
                    <w:t>土</w:t>
                  </w:r>
                  <w:r>
                    <w:rPr>
                      <w:rFonts w:ascii="宋体" w:hAnsi="宋体" w:eastAsia="宋体" w:cs="宋体"/>
                      <w:color w:val="auto"/>
                      <w:spacing w:val="11"/>
                      <w:sz w:val="19"/>
                      <w:szCs w:val="19"/>
                      <w:highlight w:val="none"/>
                    </w:rPr>
                    <w:t>盖板1150</w:t>
                  </w:r>
                  <w:r>
                    <w:rPr>
                      <w:rFonts w:ascii="宋体" w:hAnsi="宋体" w:eastAsia="宋体" w:cs="宋体"/>
                      <w:color w:val="auto"/>
                      <w:sz w:val="19"/>
                      <w:szCs w:val="19"/>
                      <w:highlight w:val="none"/>
                    </w:rPr>
                    <w:t>mm</w:t>
                  </w:r>
                  <w:r>
                    <w:rPr>
                      <w:rFonts w:ascii="宋体" w:hAnsi="宋体" w:eastAsia="宋体" w:cs="宋体"/>
                      <w:color w:val="auto"/>
                      <w:spacing w:val="11"/>
                      <w:sz w:val="19"/>
                      <w:szCs w:val="19"/>
                      <w:highlight w:val="none"/>
                    </w:rPr>
                    <w:t>*300</w:t>
                  </w:r>
                  <w:r>
                    <w:rPr>
                      <w:rFonts w:ascii="宋体" w:hAnsi="宋体" w:eastAsia="宋体" w:cs="宋体"/>
                      <w:color w:val="auto"/>
                      <w:sz w:val="19"/>
                      <w:szCs w:val="19"/>
                      <w:highlight w:val="none"/>
                    </w:rPr>
                    <w:t>mm</w:t>
                  </w:r>
                  <w:r>
                    <w:rPr>
                      <w:rFonts w:ascii="宋体" w:hAnsi="宋体" w:eastAsia="宋体" w:cs="宋体"/>
                      <w:color w:val="auto"/>
                      <w:spacing w:val="11"/>
                      <w:sz w:val="19"/>
                      <w:szCs w:val="19"/>
                      <w:highlight w:val="none"/>
                    </w:rPr>
                    <w:t>*150</w:t>
                  </w:r>
                  <w:r>
                    <w:rPr>
                      <w:rFonts w:ascii="宋体" w:hAnsi="宋体" w:eastAsia="宋体" w:cs="宋体"/>
                      <w:color w:val="auto"/>
                      <w:sz w:val="19"/>
                      <w:szCs w:val="19"/>
                      <w:highlight w:val="none"/>
                    </w:rPr>
                    <w:t>mm</w:t>
                  </w:r>
                </w:p>
              </w:tc>
              <w:tc>
                <w:tcPr>
                  <w:tcW w:w="628" w:type="dxa"/>
                  <w:gridSpan w:val="2"/>
                  <w:tcBorders>
                    <w:left w:val="single" w:color="000000" w:sz="6" w:space="0"/>
                    <w:right w:val="single" w:color="000000" w:sz="6" w:space="0"/>
                  </w:tcBorders>
                  <w:vAlign w:val="top"/>
                </w:tcPr>
                <w:p>
                  <w:pPr>
                    <w:spacing w:line="383" w:lineRule="auto"/>
                    <w:rPr>
                      <w:rFonts w:ascii="Arial"/>
                      <w:color w:val="auto"/>
                      <w:sz w:val="21"/>
                      <w:highlight w:val="none"/>
                    </w:rPr>
                  </w:pPr>
                </w:p>
                <w:p>
                  <w:pPr>
                    <w:spacing w:before="62" w:line="231" w:lineRule="auto"/>
                    <w:ind w:left="168"/>
                    <w:rPr>
                      <w:rFonts w:ascii="宋体" w:hAnsi="宋体" w:eastAsia="宋体" w:cs="宋体"/>
                      <w:color w:val="auto"/>
                      <w:sz w:val="19"/>
                      <w:szCs w:val="19"/>
                      <w:highlight w:val="none"/>
                    </w:rPr>
                  </w:pPr>
                  <w:r>
                    <w:rPr>
                      <w:rFonts w:ascii="宋体" w:hAnsi="宋体" w:eastAsia="宋体" w:cs="宋体"/>
                      <w:color w:val="auto"/>
                      <w:sz w:val="19"/>
                      <w:szCs w:val="19"/>
                      <w:highlight w:val="none"/>
                    </w:rPr>
                    <w:t>座</w:t>
                  </w:r>
                </w:p>
              </w:tc>
              <w:tc>
                <w:tcPr>
                  <w:tcW w:w="1110" w:type="dxa"/>
                  <w:gridSpan w:val="2"/>
                  <w:tcBorders>
                    <w:left w:val="single" w:color="000000" w:sz="6" w:space="0"/>
                    <w:right w:val="single" w:color="000000" w:sz="6" w:space="0"/>
                  </w:tcBorders>
                  <w:vAlign w:val="top"/>
                </w:tcPr>
                <w:p>
                  <w:pPr>
                    <w:spacing w:line="417" w:lineRule="auto"/>
                    <w:rPr>
                      <w:rFonts w:ascii="Arial"/>
                      <w:color w:val="auto"/>
                      <w:sz w:val="21"/>
                      <w:highlight w:val="none"/>
                    </w:rPr>
                  </w:pPr>
                </w:p>
                <w:p>
                  <w:pPr>
                    <w:spacing w:before="62" w:line="189" w:lineRule="auto"/>
                    <w:ind w:left="785"/>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670" w:hRule="atLeast"/>
                <w:jc w:val="center"/>
              </w:trPr>
              <w:tc>
                <w:tcPr>
                  <w:tcW w:w="945" w:type="dxa"/>
                  <w:tcBorders>
                    <w:left w:val="single" w:color="000000" w:sz="8" w:space="0"/>
                    <w:right w:val="single" w:color="000000" w:sz="6" w:space="0"/>
                  </w:tcBorders>
                  <w:vAlign w:val="top"/>
                </w:tcPr>
                <w:p>
                  <w:pPr>
                    <w:spacing w:line="293" w:lineRule="auto"/>
                    <w:rPr>
                      <w:rFonts w:ascii="Arial"/>
                      <w:color w:val="auto"/>
                      <w:sz w:val="21"/>
                      <w:highlight w:val="none"/>
                    </w:rPr>
                  </w:pPr>
                </w:p>
                <w:p>
                  <w:pPr>
                    <w:spacing w:line="293" w:lineRule="auto"/>
                    <w:rPr>
                      <w:rFonts w:ascii="Arial"/>
                      <w:color w:val="auto"/>
                      <w:sz w:val="21"/>
                      <w:highlight w:val="none"/>
                    </w:rPr>
                  </w:pPr>
                </w:p>
                <w:p>
                  <w:pPr>
                    <w:spacing w:before="62" w:line="189" w:lineRule="auto"/>
                    <w:ind w:left="332"/>
                    <w:rPr>
                      <w:rFonts w:ascii="宋体" w:hAnsi="宋体" w:eastAsia="宋体" w:cs="宋体"/>
                      <w:color w:val="auto"/>
                      <w:sz w:val="19"/>
                      <w:szCs w:val="19"/>
                      <w:highlight w:val="none"/>
                    </w:rPr>
                  </w:pPr>
                  <w:r>
                    <w:rPr>
                      <w:rFonts w:ascii="宋体" w:hAnsi="宋体" w:eastAsia="宋体" w:cs="宋体"/>
                      <w:color w:val="auto"/>
                      <w:sz w:val="19"/>
                      <w:szCs w:val="19"/>
                      <w:highlight w:val="none"/>
                    </w:rPr>
                    <w:t>8</w:t>
                  </w:r>
                </w:p>
              </w:tc>
              <w:tc>
                <w:tcPr>
                  <w:tcW w:w="1574" w:type="dxa"/>
                  <w:gridSpan w:val="2"/>
                  <w:tcBorders>
                    <w:left w:val="single" w:color="000000" w:sz="6" w:space="0"/>
                    <w:right w:val="single" w:color="000000" w:sz="6" w:space="0"/>
                  </w:tcBorders>
                  <w:vAlign w:val="top"/>
                </w:tcPr>
                <w:p>
                  <w:pPr>
                    <w:spacing w:line="284" w:lineRule="auto"/>
                    <w:rPr>
                      <w:rFonts w:ascii="Arial"/>
                      <w:color w:val="auto"/>
                      <w:sz w:val="21"/>
                      <w:highlight w:val="none"/>
                    </w:rPr>
                  </w:pPr>
                </w:p>
                <w:p>
                  <w:pPr>
                    <w:spacing w:line="285" w:lineRule="auto"/>
                    <w:rPr>
                      <w:rFonts w:ascii="Arial"/>
                      <w:color w:val="auto"/>
                      <w:sz w:val="21"/>
                      <w:highlight w:val="none"/>
                    </w:rPr>
                  </w:pPr>
                </w:p>
                <w:p>
                  <w:pPr>
                    <w:spacing w:before="62" w:line="230" w:lineRule="auto"/>
                    <w:ind w:left="26"/>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箱</w:t>
                  </w:r>
                  <w:r>
                    <w:rPr>
                      <w:rFonts w:ascii="宋体" w:hAnsi="宋体" w:eastAsia="宋体" w:cs="宋体"/>
                      <w:color w:val="auto"/>
                      <w:spacing w:val="3"/>
                      <w:sz w:val="19"/>
                      <w:szCs w:val="19"/>
                      <w:highlight w:val="none"/>
                    </w:rPr>
                    <w:t>变基础</w:t>
                  </w:r>
                </w:p>
              </w:tc>
              <w:tc>
                <w:tcPr>
                  <w:tcW w:w="3318" w:type="dxa"/>
                  <w:gridSpan w:val="2"/>
                  <w:tcBorders>
                    <w:left w:val="single" w:color="000000" w:sz="6" w:space="0"/>
                    <w:right w:val="single" w:color="000000" w:sz="6" w:space="0"/>
                  </w:tcBorders>
                  <w:vAlign w:val="top"/>
                </w:tcPr>
                <w:p>
                  <w:pPr>
                    <w:spacing w:line="276" w:lineRule="auto"/>
                    <w:rPr>
                      <w:rFonts w:ascii="Arial"/>
                      <w:color w:val="auto"/>
                      <w:sz w:val="21"/>
                      <w:highlight w:val="none"/>
                    </w:rPr>
                  </w:pPr>
                </w:p>
                <w:p>
                  <w:pPr>
                    <w:numPr>
                      <w:ilvl w:val="0"/>
                      <w:numId w:val="3"/>
                    </w:numPr>
                    <w:spacing w:before="62" w:line="193" w:lineRule="auto"/>
                    <w:ind w:left="27" w:right="57" w:firstLine="15"/>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名称:箱变基础</w:t>
                  </w:r>
                  <w:r>
                    <w:rPr>
                      <w:rFonts w:ascii="宋体" w:hAnsi="宋体" w:eastAsia="宋体" w:cs="宋体"/>
                      <w:color w:val="auto"/>
                      <w:sz w:val="19"/>
                      <w:szCs w:val="19"/>
                      <w:highlight w:val="none"/>
                    </w:rPr>
                    <w:t xml:space="preserve">          </w:t>
                  </w:r>
                </w:p>
                <w:p>
                  <w:pPr>
                    <w:numPr>
                      <w:ilvl w:val="0"/>
                      <w:numId w:val="3"/>
                    </w:numPr>
                    <w:spacing w:before="62" w:line="193" w:lineRule="auto"/>
                    <w:ind w:left="27" w:leftChars="0" w:right="57" w:rightChars="0" w:firstLine="15" w:firstLineChars="0"/>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基础、强度等级:钢筋混凝</w:t>
                  </w:r>
                  <w:r>
                    <w:rPr>
                      <w:rFonts w:ascii="宋体" w:hAnsi="宋体" w:eastAsia="宋体" w:cs="宋体"/>
                      <w:color w:val="auto"/>
                      <w:spacing w:val="2"/>
                      <w:sz w:val="19"/>
                      <w:szCs w:val="19"/>
                      <w:highlight w:val="none"/>
                    </w:rPr>
                    <w:t>土</w:t>
                  </w:r>
                  <w:r>
                    <w:rPr>
                      <w:rFonts w:ascii="宋体" w:hAnsi="宋体" w:eastAsia="宋体" w:cs="宋体"/>
                      <w:color w:val="auto"/>
                      <w:sz w:val="19"/>
                      <w:szCs w:val="19"/>
                      <w:highlight w:val="none"/>
                    </w:rPr>
                    <w:t xml:space="preserve">                         </w:t>
                  </w:r>
                </w:p>
                <w:p>
                  <w:pPr>
                    <w:numPr>
                      <w:ilvl w:val="0"/>
                      <w:numId w:val="0"/>
                    </w:numPr>
                    <w:spacing w:before="62" w:line="193" w:lineRule="auto"/>
                    <w:ind w:left="42" w:leftChars="0" w:right="57" w:rightChars="0"/>
                    <w:rPr>
                      <w:rFonts w:ascii="宋体" w:hAnsi="宋体" w:eastAsia="宋体" w:cs="宋体"/>
                      <w:color w:val="auto"/>
                      <w:sz w:val="19"/>
                      <w:szCs w:val="19"/>
                      <w:highlight w:val="none"/>
                    </w:rPr>
                  </w:pPr>
                  <w:r>
                    <w:rPr>
                      <w:rFonts w:ascii="宋体" w:hAnsi="宋体" w:eastAsia="宋体" w:cs="宋体"/>
                      <w:color w:val="auto"/>
                      <w:spacing w:val="12"/>
                      <w:sz w:val="19"/>
                      <w:szCs w:val="19"/>
                      <w:highlight w:val="none"/>
                    </w:rPr>
                    <w:t>3</w:t>
                  </w:r>
                  <w:r>
                    <w:rPr>
                      <w:rFonts w:ascii="宋体" w:hAnsi="宋体" w:eastAsia="宋体" w:cs="宋体"/>
                      <w:color w:val="auto"/>
                      <w:spacing w:val="11"/>
                      <w:sz w:val="19"/>
                      <w:szCs w:val="19"/>
                      <w:highlight w:val="none"/>
                    </w:rPr>
                    <w:t>.</w:t>
                  </w:r>
                  <w:r>
                    <w:rPr>
                      <w:rFonts w:ascii="宋体" w:hAnsi="宋体" w:eastAsia="宋体" w:cs="宋体"/>
                      <w:color w:val="auto"/>
                      <w:spacing w:val="6"/>
                      <w:sz w:val="19"/>
                      <w:szCs w:val="19"/>
                      <w:highlight w:val="none"/>
                    </w:rPr>
                    <w:t>垫层材料种类、厚度:</w:t>
                  </w:r>
                  <w:r>
                    <w:rPr>
                      <w:rFonts w:ascii="宋体" w:hAnsi="宋体" w:eastAsia="宋体" w:cs="宋体"/>
                      <w:color w:val="auto"/>
                      <w:sz w:val="19"/>
                      <w:szCs w:val="19"/>
                      <w:highlight w:val="none"/>
                    </w:rPr>
                    <w:t>C</w:t>
                  </w:r>
                  <w:r>
                    <w:rPr>
                      <w:rFonts w:ascii="宋体" w:hAnsi="宋体" w:eastAsia="宋体" w:cs="宋体"/>
                      <w:color w:val="auto"/>
                      <w:spacing w:val="6"/>
                      <w:sz w:val="19"/>
                      <w:szCs w:val="19"/>
                      <w:highlight w:val="none"/>
                    </w:rPr>
                    <w:t>15砼</w:t>
                  </w:r>
                  <w:r>
                    <w:rPr>
                      <w:rFonts w:ascii="宋体" w:hAnsi="宋体" w:eastAsia="宋体" w:cs="宋体"/>
                      <w:color w:val="auto"/>
                      <w:sz w:val="19"/>
                      <w:szCs w:val="19"/>
                      <w:highlight w:val="none"/>
                    </w:rPr>
                    <w:t xml:space="preserve"> </w:t>
                  </w:r>
                  <w:r>
                    <w:rPr>
                      <w:rFonts w:ascii="宋体" w:hAnsi="宋体" w:eastAsia="宋体" w:cs="宋体"/>
                      <w:color w:val="auto"/>
                      <w:spacing w:val="10"/>
                      <w:sz w:val="19"/>
                      <w:szCs w:val="19"/>
                      <w:highlight w:val="none"/>
                    </w:rPr>
                    <w:t>、</w:t>
                  </w:r>
                  <w:r>
                    <w:rPr>
                      <w:rFonts w:ascii="宋体" w:hAnsi="宋体" w:eastAsia="宋体" w:cs="宋体"/>
                      <w:color w:val="auto"/>
                      <w:sz w:val="19"/>
                      <w:szCs w:val="19"/>
                      <w:highlight w:val="none"/>
                    </w:rPr>
                    <w:t>C</w:t>
                  </w:r>
                  <w:r>
                    <w:rPr>
                      <w:rFonts w:ascii="宋体" w:hAnsi="宋体" w:eastAsia="宋体" w:cs="宋体"/>
                      <w:color w:val="auto"/>
                      <w:spacing w:val="9"/>
                      <w:sz w:val="19"/>
                      <w:szCs w:val="19"/>
                      <w:highlight w:val="none"/>
                    </w:rPr>
                    <w:t>25砼</w:t>
                  </w:r>
                  <w:r>
                    <w:rPr>
                      <w:rFonts w:ascii="宋体" w:hAnsi="宋体" w:eastAsia="宋体" w:cs="宋体"/>
                      <w:color w:val="auto"/>
                      <w:sz w:val="19"/>
                      <w:szCs w:val="19"/>
                      <w:highlight w:val="none"/>
                    </w:rPr>
                    <w:t xml:space="preserve">                   </w:t>
                  </w:r>
                </w:p>
                <w:p>
                  <w:pPr>
                    <w:numPr>
                      <w:ilvl w:val="0"/>
                      <w:numId w:val="0"/>
                    </w:numPr>
                    <w:spacing w:before="62" w:line="193" w:lineRule="auto"/>
                    <w:ind w:left="42" w:leftChars="0" w:right="57" w:rightChars="0"/>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4</w:t>
                  </w:r>
                  <w:r>
                    <w:rPr>
                      <w:rFonts w:ascii="宋体" w:hAnsi="宋体" w:eastAsia="宋体" w:cs="宋体"/>
                      <w:color w:val="auto"/>
                      <w:spacing w:val="7"/>
                      <w:sz w:val="19"/>
                      <w:szCs w:val="19"/>
                      <w:highlight w:val="none"/>
                    </w:rPr>
                    <w:t>.混凝土强度等级:</w:t>
                  </w:r>
                  <w:r>
                    <w:rPr>
                      <w:rFonts w:ascii="宋体" w:hAnsi="宋体" w:eastAsia="宋体" w:cs="宋体"/>
                      <w:color w:val="auto"/>
                      <w:sz w:val="19"/>
                      <w:szCs w:val="19"/>
                      <w:highlight w:val="none"/>
                    </w:rPr>
                    <w:t>C</w:t>
                  </w:r>
                  <w:r>
                    <w:rPr>
                      <w:rFonts w:ascii="宋体" w:hAnsi="宋体" w:eastAsia="宋体" w:cs="宋体"/>
                      <w:color w:val="auto"/>
                      <w:spacing w:val="7"/>
                      <w:sz w:val="19"/>
                      <w:szCs w:val="19"/>
                      <w:highlight w:val="none"/>
                    </w:rPr>
                    <w:t>25砼</w:t>
                  </w:r>
                  <w:r>
                    <w:rPr>
                      <w:rFonts w:ascii="宋体" w:hAnsi="宋体" w:eastAsia="宋体" w:cs="宋体"/>
                      <w:color w:val="auto"/>
                      <w:sz w:val="19"/>
                      <w:szCs w:val="19"/>
                      <w:highlight w:val="none"/>
                    </w:rPr>
                    <w:t xml:space="preserve">    </w:t>
                  </w:r>
                </w:p>
                <w:p>
                  <w:pPr>
                    <w:numPr>
                      <w:ilvl w:val="0"/>
                      <w:numId w:val="0"/>
                    </w:numPr>
                    <w:spacing w:before="62" w:line="193" w:lineRule="auto"/>
                    <w:ind w:left="42" w:leftChars="0" w:right="57" w:rightChars="0"/>
                    <w:rPr>
                      <w:rFonts w:ascii="宋体" w:hAnsi="宋体" w:eastAsia="宋体" w:cs="宋体"/>
                      <w:color w:val="auto"/>
                      <w:sz w:val="19"/>
                      <w:szCs w:val="19"/>
                      <w:highlight w:val="none"/>
                    </w:rPr>
                  </w:pPr>
                  <w:r>
                    <w:rPr>
                      <w:rFonts w:ascii="宋体" w:hAnsi="宋体" w:eastAsia="宋体" w:cs="宋体"/>
                      <w:color w:val="auto"/>
                      <w:spacing w:val="14"/>
                      <w:sz w:val="19"/>
                      <w:szCs w:val="19"/>
                      <w:highlight w:val="none"/>
                    </w:rPr>
                    <w:t>5</w:t>
                  </w:r>
                  <w:r>
                    <w:rPr>
                      <w:rFonts w:ascii="宋体" w:hAnsi="宋体" w:eastAsia="宋体" w:cs="宋体"/>
                      <w:color w:val="auto"/>
                      <w:spacing w:val="8"/>
                      <w:sz w:val="19"/>
                      <w:szCs w:val="19"/>
                      <w:highlight w:val="none"/>
                    </w:rPr>
                    <w:t>.</w:t>
                  </w:r>
                  <w:r>
                    <w:rPr>
                      <w:rFonts w:ascii="宋体" w:hAnsi="宋体" w:eastAsia="宋体" w:cs="宋体"/>
                      <w:color w:val="auto"/>
                      <w:spacing w:val="7"/>
                      <w:sz w:val="19"/>
                      <w:szCs w:val="19"/>
                      <w:highlight w:val="none"/>
                    </w:rPr>
                    <w:t>砂浆强度等级:15</w:t>
                  </w:r>
                  <w:r>
                    <w:rPr>
                      <w:rFonts w:ascii="宋体" w:hAnsi="宋体" w:eastAsia="宋体" w:cs="宋体"/>
                      <w:color w:val="auto"/>
                      <w:sz w:val="19"/>
                      <w:szCs w:val="19"/>
                      <w:highlight w:val="none"/>
                    </w:rPr>
                    <w:t>mm</w:t>
                  </w:r>
                  <w:r>
                    <w:rPr>
                      <w:rFonts w:ascii="宋体" w:hAnsi="宋体" w:eastAsia="宋体" w:cs="宋体"/>
                      <w:color w:val="auto"/>
                      <w:spacing w:val="7"/>
                      <w:sz w:val="19"/>
                      <w:szCs w:val="19"/>
                      <w:highlight w:val="none"/>
                    </w:rPr>
                    <w:t>水泥防</w:t>
                  </w:r>
                  <w:r>
                    <w:rPr>
                      <w:rFonts w:ascii="宋体" w:hAnsi="宋体" w:eastAsia="宋体" w:cs="宋体"/>
                      <w:color w:val="auto"/>
                      <w:spacing w:val="12"/>
                      <w:sz w:val="19"/>
                      <w:szCs w:val="19"/>
                      <w:highlight w:val="none"/>
                    </w:rPr>
                    <w:t>水</w:t>
                  </w:r>
                  <w:r>
                    <w:rPr>
                      <w:rFonts w:ascii="宋体" w:hAnsi="宋体" w:eastAsia="宋体" w:cs="宋体"/>
                      <w:color w:val="auto"/>
                      <w:spacing w:val="6"/>
                      <w:sz w:val="19"/>
                      <w:szCs w:val="19"/>
                      <w:highlight w:val="none"/>
                    </w:rPr>
                    <w:t>砂浆 1:2.5</w:t>
                  </w:r>
                  <w:r>
                    <w:rPr>
                      <w:rFonts w:ascii="宋体" w:hAnsi="宋体" w:eastAsia="宋体" w:cs="宋体"/>
                      <w:color w:val="auto"/>
                      <w:sz w:val="19"/>
                      <w:szCs w:val="19"/>
                      <w:highlight w:val="none"/>
                    </w:rPr>
                    <w:t xml:space="preserve">              </w:t>
                  </w:r>
                </w:p>
                <w:p>
                  <w:pPr>
                    <w:numPr>
                      <w:ilvl w:val="0"/>
                      <w:numId w:val="0"/>
                    </w:numPr>
                    <w:spacing w:before="62" w:line="193" w:lineRule="auto"/>
                    <w:ind w:left="42" w:leftChars="0" w:right="57" w:rightChars="0"/>
                    <w:rPr>
                      <w:rFonts w:ascii="宋体" w:hAnsi="宋体" w:eastAsia="宋体" w:cs="宋体"/>
                      <w:color w:val="auto"/>
                      <w:sz w:val="19"/>
                      <w:szCs w:val="19"/>
                      <w:highlight w:val="none"/>
                    </w:rPr>
                  </w:pPr>
                  <w:r>
                    <w:rPr>
                      <w:rFonts w:ascii="宋体" w:hAnsi="宋体" w:eastAsia="宋体" w:cs="宋体"/>
                      <w:color w:val="auto"/>
                      <w:spacing w:val="14"/>
                      <w:sz w:val="19"/>
                      <w:szCs w:val="19"/>
                      <w:highlight w:val="none"/>
                    </w:rPr>
                    <w:t>6</w:t>
                  </w:r>
                  <w:r>
                    <w:rPr>
                      <w:rFonts w:ascii="宋体" w:hAnsi="宋体" w:eastAsia="宋体" w:cs="宋体"/>
                      <w:color w:val="auto"/>
                      <w:spacing w:val="9"/>
                      <w:sz w:val="19"/>
                      <w:szCs w:val="19"/>
                      <w:highlight w:val="none"/>
                    </w:rPr>
                    <w:t>.</w:t>
                  </w:r>
                  <w:r>
                    <w:rPr>
                      <w:rFonts w:ascii="宋体" w:hAnsi="宋体" w:eastAsia="宋体" w:cs="宋体"/>
                      <w:color w:val="auto"/>
                      <w:spacing w:val="7"/>
                      <w:sz w:val="19"/>
                      <w:szCs w:val="19"/>
                      <w:highlight w:val="none"/>
                    </w:rPr>
                    <w:t>防潮层材料种类:15</w:t>
                  </w:r>
                  <w:r>
                    <w:rPr>
                      <w:rFonts w:ascii="宋体" w:hAnsi="宋体" w:eastAsia="宋体" w:cs="宋体"/>
                      <w:color w:val="auto"/>
                      <w:sz w:val="19"/>
                      <w:szCs w:val="19"/>
                      <w:highlight w:val="none"/>
                    </w:rPr>
                    <w:t>mm</w:t>
                  </w:r>
                  <w:r>
                    <w:rPr>
                      <w:rFonts w:ascii="宋体" w:hAnsi="宋体" w:eastAsia="宋体" w:cs="宋体"/>
                      <w:color w:val="auto"/>
                      <w:spacing w:val="7"/>
                      <w:sz w:val="19"/>
                      <w:szCs w:val="19"/>
                      <w:highlight w:val="none"/>
                    </w:rPr>
                    <w:t>水泥</w:t>
                  </w:r>
                  <w:r>
                    <w:rPr>
                      <w:rFonts w:ascii="宋体" w:hAnsi="宋体" w:eastAsia="宋体" w:cs="宋体"/>
                      <w:color w:val="auto"/>
                      <w:spacing w:val="8"/>
                      <w:sz w:val="19"/>
                      <w:szCs w:val="19"/>
                      <w:highlight w:val="none"/>
                    </w:rPr>
                    <w:t>防</w:t>
                  </w:r>
                  <w:r>
                    <w:rPr>
                      <w:rFonts w:ascii="宋体" w:hAnsi="宋体" w:eastAsia="宋体" w:cs="宋体"/>
                      <w:color w:val="auto"/>
                      <w:spacing w:val="7"/>
                      <w:sz w:val="19"/>
                      <w:szCs w:val="19"/>
                      <w:highlight w:val="none"/>
                    </w:rPr>
                    <w:t>水砂浆1:2.5</w:t>
                  </w:r>
                </w:p>
              </w:tc>
              <w:tc>
                <w:tcPr>
                  <w:tcW w:w="628" w:type="dxa"/>
                  <w:gridSpan w:val="2"/>
                  <w:tcBorders>
                    <w:left w:val="single" w:color="000000" w:sz="6" w:space="0"/>
                    <w:right w:val="single" w:color="000000" w:sz="6" w:space="0"/>
                  </w:tcBorders>
                  <w:vAlign w:val="top"/>
                </w:tcPr>
                <w:p>
                  <w:pPr>
                    <w:spacing w:line="284" w:lineRule="auto"/>
                    <w:rPr>
                      <w:rFonts w:ascii="Arial"/>
                      <w:color w:val="auto"/>
                      <w:sz w:val="21"/>
                      <w:highlight w:val="none"/>
                    </w:rPr>
                  </w:pPr>
                </w:p>
                <w:p>
                  <w:pPr>
                    <w:spacing w:line="285" w:lineRule="auto"/>
                    <w:rPr>
                      <w:rFonts w:ascii="Arial"/>
                      <w:color w:val="auto"/>
                      <w:sz w:val="21"/>
                      <w:highlight w:val="none"/>
                    </w:rPr>
                  </w:pPr>
                </w:p>
                <w:p>
                  <w:pPr>
                    <w:spacing w:before="62" w:line="231" w:lineRule="auto"/>
                    <w:ind w:left="169"/>
                    <w:rPr>
                      <w:rFonts w:ascii="宋体" w:hAnsi="宋体" w:eastAsia="宋体" w:cs="宋体"/>
                      <w:color w:val="auto"/>
                      <w:sz w:val="19"/>
                      <w:szCs w:val="19"/>
                      <w:highlight w:val="none"/>
                    </w:rPr>
                  </w:pPr>
                  <w:r>
                    <w:rPr>
                      <w:rFonts w:ascii="宋体" w:hAnsi="宋体" w:eastAsia="宋体" w:cs="宋体"/>
                      <w:color w:val="auto"/>
                      <w:sz w:val="19"/>
                      <w:szCs w:val="19"/>
                      <w:highlight w:val="none"/>
                    </w:rPr>
                    <w:t>座</w:t>
                  </w:r>
                </w:p>
              </w:tc>
              <w:tc>
                <w:tcPr>
                  <w:tcW w:w="1110" w:type="dxa"/>
                  <w:gridSpan w:val="2"/>
                  <w:tcBorders>
                    <w:left w:val="single" w:color="000000" w:sz="6" w:space="0"/>
                    <w:right w:val="single" w:color="000000" w:sz="6" w:space="0"/>
                  </w:tcBorders>
                  <w:vAlign w:val="top"/>
                </w:tcPr>
                <w:p>
                  <w:pPr>
                    <w:spacing w:line="292" w:lineRule="auto"/>
                    <w:rPr>
                      <w:rFonts w:ascii="Arial"/>
                      <w:color w:val="auto"/>
                      <w:sz w:val="21"/>
                      <w:highlight w:val="none"/>
                    </w:rPr>
                  </w:pPr>
                </w:p>
                <w:p>
                  <w:pPr>
                    <w:spacing w:line="293" w:lineRule="auto"/>
                    <w:rPr>
                      <w:rFonts w:ascii="Arial"/>
                      <w:color w:val="auto"/>
                      <w:sz w:val="21"/>
                      <w:highlight w:val="none"/>
                    </w:rPr>
                  </w:pPr>
                </w:p>
                <w:p>
                  <w:pPr>
                    <w:spacing w:before="62" w:line="191" w:lineRule="auto"/>
                    <w:ind w:left="797"/>
                    <w:rPr>
                      <w:rFonts w:ascii="宋体" w:hAnsi="宋体" w:eastAsia="宋体" w:cs="宋体"/>
                      <w:color w:val="auto"/>
                      <w:sz w:val="19"/>
                      <w:szCs w:val="19"/>
                      <w:highlight w:val="none"/>
                    </w:rPr>
                  </w:pPr>
                  <w:r>
                    <w:rPr>
                      <w:rFonts w:ascii="宋体" w:hAnsi="宋体" w:eastAsia="宋体" w:cs="宋体"/>
                      <w:color w:val="auto"/>
                      <w:spacing w:val="-8"/>
                      <w:w w:val="89"/>
                      <w:sz w:val="19"/>
                      <w:szCs w:val="19"/>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44" w:hRule="atLeast"/>
                <w:jc w:val="center"/>
              </w:trPr>
              <w:tc>
                <w:tcPr>
                  <w:tcW w:w="945" w:type="dxa"/>
                  <w:tcBorders>
                    <w:left w:val="single" w:color="000000" w:sz="8" w:space="0"/>
                    <w:right w:val="single" w:color="000000" w:sz="6" w:space="0"/>
                  </w:tcBorders>
                  <w:vAlign w:val="top"/>
                </w:tcPr>
                <w:p>
                  <w:pPr>
                    <w:spacing w:line="295" w:lineRule="auto"/>
                    <w:rPr>
                      <w:rFonts w:ascii="Arial"/>
                      <w:color w:val="auto"/>
                      <w:sz w:val="21"/>
                      <w:highlight w:val="none"/>
                    </w:rPr>
                  </w:pPr>
                </w:p>
                <w:p>
                  <w:pPr>
                    <w:spacing w:before="62" w:line="189" w:lineRule="auto"/>
                    <w:ind w:left="332"/>
                    <w:rPr>
                      <w:rFonts w:ascii="宋体" w:hAnsi="宋体" w:eastAsia="宋体" w:cs="宋体"/>
                      <w:color w:val="auto"/>
                      <w:sz w:val="19"/>
                      <w:szCs w:val="19"/>
                      <w:highlight w:val="none"/>
                    </w:rPr>
                  </w:pPr>
                  <w:r>
                    <w:rPr>
                      <w:rFonts w:ascii="宋体" w:hAnsi="宋体" w:eastAsia="宋体" w:cs="宋体"/>
                      <w:color w:val="auto"/>
                      <w:sz w:val="19"/>
                      <w:szCs w:val="19"/>
                      <w:highlight w:val="none"/>
                    </w:rPr>
                    <w:t>9</w:t>
                  </w:r>
                </w:p>
              </w:tc>
              <w:tc>
                <w:tcPr>
                  <w:tcW w:w="1574" w:type="dxa"/>
                  <w:gridSpan w:val="2"/>
                  <w:tcBorders>
                    <w:left w:val="single" w:color="000000" w:sz="6" w:space="0"/>
                    <w:right w:val="single" w:color="000000" w:sz="6" w:space="0"/>
                  </w:tcBorders>
                  <w:vAlign w:val="top"/>
                </w:tcPr>
                <w:p>
                  <w:pPr>
                    <w:spacing w:line="261" w:lineRule="auto"/>
                    <w:rPr>
                      <w:rFonts w:ascii="Arial"/>
                      <w:color w:val="auto"/>
                      <w:sz w:val="21"/>
                      <w:highlight w:val="none"/>
                    </w:rPr>
                  </w:pPr>
                </w:p>
                <w:p>
                  <w:pPr>
                    <w:spacing w:before="62" w:line="230" w:lineRule="auto"/>
                    <w:ind w:left="26"/>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箱</w:t>
                  </w:r>
                  <w:r>
                    <w:rPr>
                      <w:rFonts w:ascii="宋体" w:hAnsi="宋体" w:eastAsia="宋体" w:cs="宋体"/>
                      <w:color w:val="auto"/>
                      <w:spacing w:val="3"/>
                      <w:sz w:val="19"/>
                      <w:szCs w:val="19"/>
                      <w:highlight w:val="none"/>
                    </w:rPr>
                    <w:t>变围栏</w:t>
                  </w:r>
                </w:p>
              </w:tc>
              <w:tc>
                <w:tcPr>
                  <w:tcW w:w="3318" w:type="dxa"/>
                  <w:gridSpan w:val="2"/>
                  <w:tcBorders>
                    <w:left w:val="single" w:color="000000" w:sz="6" w:space="0"/>
                    <w:right w:val="single" w:color="000000" w:sz="6" w:space="0"/>
                  </w:tcBorders>
                  <w:vAlign w:val="top"/>
                </w:tcPr>
                <w:p>
                  <w:pPr>
                    <w:numPr>
                      <w:ilvl w:val="0"/>
                      <w:numId w:val="4"/>
                    </w:numPr>
                    <w:spacing w:before="130" w:line="204" w:lineRule="auto"/>
                    <w:ind w:left="30" w:right="72" w:firstLine="13"/>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名称:箱变围栏</w:t>
                  </w:r>
                  <w:r>
                    <w:rPr>
                      <w:rFonts w:ascii="宋体" w:hAnsi="宋体" w:eastAsia="宋体" w:cs="宋体"/>
                      <w:color w:val="auto"/>
                      <w:sz w:val="19"/>
                      <w:szCs w:val="19"/>
                      <w:highlight w:val="none"/>
                    </w:rPr>
                    <w:t xml:space="preserve">          </w:t>
                  </w:r>
                </w:p>
                <w:p>
                  <w:pPr>
                    <w:numPr>
                      <w:ilvl w:val="0"/>
                      <w:numId w:val="0"/>
                    </w:numPr>
                    <w:spacing w:before="130" w:line="204" w:lineRule="auto"/>
                    <w:ind w:left="43" w:leftChars="0" w:right="72" w:rightChars="0"/>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2</w:t>
                  </w:r>
                  <w:r>
                    <w:rPr>
                      <w:rFonts w:ascii="宋体" w:hAnsi="宋体" w:eastAsia="宋体" w:cs="宋体"/>
                      <w:color w:val="auto"/>
                      <w:spacing w:val="9"/>
                      <w:sz w:val="19"/>
                      <w:szCs w:val="19"/>
                      <w:highlight w:val="none"/>
                    </w:rPr>
                    <w:t>.</w:t>
                  </w:r>
                  <w:r>
                    <w:rPr>
                      <w:rFonts w:ascii="宋体" w:hAnsi="宋体" w:eastAsia="宋体" w:cs="宋体"/>
                      <w:color w:val="auto"/>
                      <w:spacing w:val="5"/>
                      <w:sz w:val="19"/>
                      <w:szCs w:val="19"/>
                      <w:highlight w:val="none"/>
                    </w:rPr>
                    <w:t>钢材品种、规格:5厘镀锌铁</w:t>
                  </w:r>
                  <w:r>
                    <w:rPr>
                      <w:rFonts w:ascii="宋体" w:hAnsi="宋体" w:eastAsia="宋体" w:cs="宋体"/>
                      <w:color w:val="auto"/>
                      <w:spacing w:val="2"/>
                      <w:sz w:val="19"/>
                      <w:szCs w:val="19"/>
                      <w:highlight w:val="none"/>
                    </w:rPr>
                    <w:t>丝网</w:t>
                  </w:r>
                </w:p>
              </w:tc>
              <w:tc>
                <w:tcPr>
                  <w:tcW w:w="628" w:type="dxa"/>
                  <w:gridSpan w:val="2"/>
                  <w:tcBorders>
                    <w:left w:val="single" w:color="000000" w:sz="6" w:space="0"/>
                    <w:right w:val="single" w:color="000000" w:sz="6" w:space="0"/>
                  </w:tcBorders>
                  <w:vAlign w:val="top"/>
                </w:tcPr>
                <w:p>
                  <w:pPr>
                    <w:spacing w:line="294" w:lineRule="auto"/>
                    <w:rPr>
                      <w:rFonts w:ascii="Arial"/>
                      <w:color w:val="auto"/>
                      <w:sz w:val="21"/>
                      <w:highlight w:val="none"/>
                    </w:rPr>
                  </w:pPr>
                </w:p>
                <w:p>
                  <w:pPr>
                    <w:spacing w:before="62" w:line="191" w:lineRule="auto"/>
                    <w:ind w:left="147"/>
                    <w:rPr>
                      <w:rFonts w:ascii="宋体" w:hAnsi="宋体" w:eastAsia="宋体" w:cs="宋体"/>
                      <w:color w:val="auto"/>
                      <w:sz w:val="19"/>
                      <w:szCs w:val="19"/>
                      <w:highlight w:val="none"/>
                    </w:rPr>
                  </w:pPr>
                  <w:r>
                    <w:rPr>
                      <w:rFonts w:ascii="宋体" w:hAnsi="宋体" w:eastAsia="宋体" w:cs="宋体"/>
                      <w:color w:val="auto"/>
                      <w:sz w:val="19"/>
                      <w:szCs w:val="19"/>
                      <w:highlight w:val="none"/>
                    </w:rPr>
                    <w:t>m</w:t>
                  </w:r>
                  <w:r>
                    <w:rPr>
                      <w:rFonts w:ascii="宋体" w:hAnsi="宋体" w:eastAsia="宋体" w:cs="宋体"/>
                      <w:color w:val="auto"/>
                      <w:spacing w:val="12"/>
                      <w:sz w:val="19"/>
                      <w:szCs w:val="19"/>
                      <w:highlight w:val="none"/>
                    </w:rPr>
                    <w:t>2</w:t>
                  </w:r>
                </w:p>
              </w:tc>
              <w:tc>
                <w:tcPr>
                  <w:tcW w:w="1110" w:type="dxa"/>
                  <w:gridSpan w:val="2"/>
                  <w:tcBorders>
                    <w:left w:val="single" w:color="000000" w:sz="6" w:space="0"/>
                    <w:right w:val="single" w:color="000000" w:sz="6" w:space="0"/>
                  </w:tcBorders>
                  <w:vAlign w:val="top"/>
                </w:tcPr>
                <w:p>
                  <w:pPr>
                    <w:spacing w:line="295" w:lineRule="auto"/>
                    <w:rPr>
                      <w:rFonts w:ascii="Arial"/>
                      <w:color w:val="auto"/>
                      <w:sz w:val="21"/>
                      <w:highlight w:val="none"/>
                    </w:rPr>
                  </w:pPr>
                </w:p>
                <w:p>
                  <w:pPr>
                    <w:spacing w:before="62" w:line="189" w:lineRule="auto"/>
                    <w:ind w:left="682"/>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5" w:hRule="atLeast"/>
                <w:jc w:val="center"/>
              </w:trPr>
              <w:tc>
                <w:tcPr>
                  <w:tcW w:w="945" w:type="dxa"/>
                  <w:tcBorders>
                    <w:left w:val="single" w:color="000000" w:sz="8" w:space="0"/>
                    <w:right w:val="single" w:color="000000" w:sz="6" w:space="0"/>
                  </w:tcBorders>
                  <w:vAlign w:val="top"/>
                </w:tcPr>
                <w:p>
                  <w:pPr>
                    <w:spacing w:before="118" w:line="190" w:lineRule="auto"/>
                    <w:ind w:left="286"/>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1</w:t>
                  </w:r>
                  <w:r>
                    <w:rPr>
                      <w:rFonts w:ascii="宋体" w:hAnsi="宋体" w:eastAsia="宋体" w:cs="宋体"/>
                      <w:color w:val="auto"/>
                      <w:spacing w:val="-2"/>
                      <w:sz w:val="19"/>
                      <w:szCs w:val="19"/>
                      <w:highlight w:val="none"/>
                    </w:rPr>
                    <w:t>0</w:t>
                  </w:r>
                </w:p>
              </w:tc>
              <w:tc>
                <w:tcPr>
                  <w:tcW w:w="1574" w:type="dxa"/>
                  <w:gridSpan w:val="2"/>
                  <w:tcBorders>
                    <w:left w:val="single" w:color="000000" w:sz="6" w:space="0"/>
                    <w:right w:val="single" w:color="000000" w:sz="6" w:space="0"/>
                  </w:tcBorders>
                  <w:vAlign w:val="top"/>
                </w:tcPr>
                <w:p>
                  <w:pPr>
                    <w:spacing w:before="85" w:line="229" w:lineRule="auto"/>
                    <w:ind w:left="4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电缆标志</w:t>
                  </w:r>
                  <w:r>
                    <w:rPr>
                      <w:rFonts w:ascii="宋体" w:hAnsi="宋体" w:eastAsia="宋体" w:cs="宋体"/>
                      <w:color w:val="auto"/>
                      <w:sz w:val="19"/>
                      <w:szCs w:val="19"/>
                      <w:highlight w:val="none"/>
                    </w:rPr>
                    <w:t>牌</w:t>
                  </w:r>
                </w:p>
              </w:tc>
              <w:tc>
                <w:tcPr>
                  <w:tcW w:w="3318" w:type="dxa"/>
                  <w:gridSpan w:val="2"/>
                  <w:tcBorders>
                    <w:left w:val="single" w:color="000000" w:sz="6" w:space="0"/>
                    <w:right w:val="single" w:color="000000" w:sz="6" w:space="0"/>
                  </w:tcBorders>
                  <w:vAlign w:val="top"/>
                </w:tcPr>
                <w:p>
                  <w:pPr>
                    <w:spacing w:before="85" w:line="256" w:lineRule="exact"/>
                    <w:ind w:left="43"/>
                    <w:rPr>
                      <w:rFonts w:ascii="宋体" w:hAnsi="宋体" w:eastAsia="宋体" w:cs="宋体"/>
                      <w:color w:val="auto"/>
                      <w:sz w:val="19"/>
                      <w:szCs w:val="19"/>
                      <w:highlight w:val="none"/>
                    </w:rPr>
                  </w:pPr>
                  <w:r>
                    <w:rPr>
                      <w:rFonts w:ascii="宋体" w:hAnsi="宋体" w:eastAsia="宋体" w:cs="宋体"/>
                      <w:color w:val="auto"/>
                      <w:spacing w:val="8"/>
                      <w:position w:val="1"/>
                      <w:sz w:val="19"/>
                      <w:szCs w:val="19"/>
                      <w:highlight w:val="none"/>
                    </w:rPr>
                    <w:t>1</w:t>
                  </w:r>
                  <w:r>
                    <w:rPr>
                      <w:rFonts w:ascii="宋体" w:hAnsi="宋体" w:eastAsia="宋体" w:cs="宋体"/>
                      <w:color w:val="auto"/>
                      <w:spacing w:val="4"/>
                      <w:position w:val="1"/>
                      <w:sz w:val="19"/>
                      <w:szCs w:val="19"/>
                      <w:highlight w:val="none"/>
                    </w:rPr>
                    <w:t>.名称:电缆标志牌</w:t>
                  </w:r>
                </w:p>
              </w:tc>
              <w:tc>
                <w:tcPr>
                  <w:tcW w:w="628" w:type="dxa"/>
                  <w:gridSpan w:val="2"/>
                  <w:tcBorders>
                    <w:left w:val="single" w:color="000000" w:sz="6" w:space="0"/>
                    <w:right w:val="single" w:color="000000" w:sz="6" w:space="0"/>
                  </w:tcBorders>
                  <w:vAlign w:val="top"/>
                </w:tcPr>
                <w:p>
                  <w:pPr>
                    <w:spacing w:before="85" w:line="230" w:lineRule="auto"/>
                    <w:ind w:left="16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块</w:t>
                  </w:r>
                </w:p>
              </w:tc>
              <w:tc>
                <w:tcPr>
                  <w:tcW w:w="1110" w:type="dxa"/>
                  <w:gridSpan w:val="2"/>
                  <w:tcBorders>
                    <w:left w:val="single" w:color="000000" w:sz="6" w:space="0"/>
                    <w:right w:val="single" w:color="000000" w:sz="6" w:space="0"/>
                  </w:tcBorders>
                  <w:vAlign w:val="top"/>
                </w:tcPr>
                <w:p>
                  <w:pPr>
                    <w:spacing w:before="120" w:line="188" w:lineRule="auto"/>
                    <w:ind w:left="786"/>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77" w:hRule="atLeast"/>
                <w:jc w:val="center"/>
              </w:trPr>
              <w:tc>
                <w:tcPr>
                  <w:tcW w:w="945" w:type="dxa"/>
                  <w:tcBorders>
                    <w:left w:val="single" w:color="000000" w:sz="8" w:space="0"/>
                    <w:right w:val="single" w:color="000000" w:sz="6" w:space="0"/>
                  </w:tcBorders>
                  <w:vAlign w:val="top"/>
                </w:tcPr>
                <w:p>
                  <w:pPr>
                    <w:spacing w:before="120" w:line="191" w:lineRule="auto"/>
                    <w:ind w:left="286"/>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1</w:t>
                  </w:r>
                  <w:r>
                    <w:rPr>
                      <w:rFonts w:ascii="宋体" w:hAnsi="宋体" w:eastAsia="宋体" w:cs="宋体"/>
                      <w:color w:val="auto"/>
                      <w:spacing w:val="-2"/>
                      <w:sz w:val="19"/>
                      <w:szCs w:val="19"/>
                      <w:highlight w:val="none"/>
                    </w:rPr>
                    <w:t>1</w:t>
                  </w:r>
                </w:p>
              </w:tc>
              <w:tc>
                <w:tcPr>
                  <w:tcW w:w="1574" w:type="dxa"/>
                  <w:gridSpan w:val="2"/>
                  <w:tcBorders>
                    <w:left w:val="single" w:color="000000" w:sz="6" w:space="0"/>
                    <w:right w:val="single" w:color="000000" w:sz="6" w:space="0"/>
                  </w:tcBorders>
                  <w:vAlign w:val="top"/>
                </w:tcPr>
                <w:p>
                  <w:pPr>
                    <w:spacing w:before="87" w:line="230" w:lineRule="auto"/>
                    <w:ind w:left="29"/>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安健环</w:t>
                  </w:r>
                </w:p>
              </w:tc>
              <w:tc>
                <w:tcPr>
                  <w:tcW w:w="3318" w:type="dxa"/>
                  <w:gridSpan w:val="2"/>
                  <w:tcBorders>
                    <w:left w:val="single" w:color="000000" w:sz="6" w:space="0"/>
                    <w:right w:val="single" w:color="000000" w:sz="6" w:space="0"/>
                  </w:tcBorders>
                  <w:vAlign w:val="top"/>
                </w:tcPr>
                <w:p>
                  <w:pPr>
                    <w:spacing w:before="87" w:line="255" w:lineRule="exact"/>
                    <w:ind w:left="43"/>
                    <w:rPr>
                      <w:rFonts w:ascii="宋体" w:hAnsi="宋体" w:eastAsia="宋体" w:cs="宋体"/>
                      <w:color w:val="auto"/>
                      <w:sz w:val="19"/>
                      <w:szCs w:val="19"/>
                      <w:highlight w:val="none"/>
                    </w:rPr>
                  </w:pPr>
                  <w:r>
                    <w:rPr>
                      <w:rFonts w:ascii="宋体" w:hAnsi="宋体" w:eastAsia="宋体" w:cs="宋体"/>
                      <w:color w:val="auto"/>
                      <w:spacing w:val="6"/>
                      <w:position w:val="1"/>
                      <w:sz w:val="19"/>
                      <w:szCs w:val="19"/>
                      <w:highlight w:val="none"/>
                    </w:rPr>
                    <w:t>1</w:t>
                  </w:r>
                  <w:r>
                    <w:rPr>
                      <w:rFonts w:ascii="宋体" w:hAnsi="宋体" w:eastAsia="宋体" w:cs="宋体"/>
                      <w:color w:val="auto"/>
                      <w:spacing w:val="4"/>
                      <w:position w:val="1"/>
                      <w:sz w:val="19"/>
                      <w:szCs w:val="19"/>
                      <w:highlight w:val="none"/>
                    </w:rPr>
                    <w:t>.名称:安健环</w:t>
                  </w:r>
                </w:p>
              </w:tc>
              <w:tc>
                <w:tcPr>
                  <w:tcW w:w="628" w:type="dxa"/>
                  <w:gridSpan w:val="2"/>
                  <w:tcBorders>
                    <w:left w:val="single" w:color="000000" w:sz="6" w:space="0"/>
                    <w:right w:val="single" w:color="000000" w:sz="6" w:space="0"/>
                  </w:tcBorders>
                  <w:vAlign w:val="top"/>
                </w:tcPr>
                <w:p>
                  <w:pPr>
                    <w:spacing w:before="86" w:line="230" w:lineRule="auto"/>
                    <w:ind w:left="171"/>
                    <w:rPr>
                      <w:rFonts w:ascii="宋体" w:hAnsi="宋体" w:eastAsia="宋体" w:cs="宋体"/>
                      <w:color w:val="auto"/>
                      <w:sz w:val="19"/>
                      <w:szCs w:val="19"/>
                      <w:highlight w:val="none"/>
                    </w:rPr>
                  </w:pPr>
                  <w:r>
                    <w:rPr>
                      <w:rFonts w:ascii="宋体" w:hAnsi="宋体" w:eastAsia="宋体" w:cs="宋体"/>
                      <w:color w:val="auto"/>
                      <w:sz w:val="19"/>
                      <w:szCs w:val="19"/>
                      <w:highlight w:val="none"/>
                    </w:rPr>
                    <w:t>项</w:t>
                  </w:r>
                </w:p>
              </w:tc>
              <w:tc>
                <w:tcPr>
                  <w:tcW w:w="1110" w:type="dxa"/>
                  <w:gridSpan w:val="2"/>
                  <w:tcBorders>
                    <w:left w:val="single" w:color="000000" w:sz="6" w:space="0"/>
                    <w:right w:val="single" w:color="000000" w:sz="6" w:space="0"/>
                  </w:tcBorders>
                  <w:vAlign w:val="top"/>
                </w:tcPr>
                <w:p>
                  <w:pPr>
                    <w:spacing w:before="120" w:line="191" w:lineRule="auto"/>
                    <w:ind w:left="797"/>
                    <w:rPr>
                      <w:rFonts w:ascii="宋体" w:hAnsi="宋体" w:eastAsia="宋体" w:cs="宋体"/>
                      <w:color w:val="auto"/>
                      <w:sz w:val="19"/>
                      <w:szCs w:val="19"/>
                      <w:highlight w:val="none"/>
                    </w:rPr>
                  </w:pPr>
                  <w:r>
                    <w:rPr>
                      <w:rFonts w:ascii="宋体" w:hAnsi="宋体" w:eastAsia="宋体" w:cs="宋体"/>
                      <w:color w:val="auto"/>
                      <w:spacing w:val="-8"/>
                      <w:w w:val="89"/>
                      <w:sz w:val="19"/>
                      <w:szCs w:val="19"/>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79" w:hRule="atLeast"/>
                <w:jc w:val="center"/>
              </w:trPr>
              <w:tc>
                <w:tcPr>
                  <w:tcW w:w="945" w:type="dxa"/>
                  <w:tcBorders>
                    <w:left w:val="single" w:color="000000" w:sz="8" w:space="0"/>
                    <w:right w:val="single" w:color="000000" w:sz="6" w:space="0"/>
                  </w:tcBorders>
                  <w:vAlign w:val="top"/>
                </w:tcPr>
                <w:p>
                  <w:pPr>
                    <w:spacing w:line="295" w:lineRule="auto"/>
                    <w:rPr>
                      <w:rFonts w:ascii="Arial"/>
                      <w:color w:val="auto"/>
                      <w:sz w:val="21"/>
                      <w:highlight w:val="none"/>
                    </w:rPr>
                  </w:pPr>
                </w:p>
                <w:p>
                  <w:pPr>
                    <w:spacing w:before="62" w:line="191" w:lineRule="auto"/>
                    <w:ind w:left="286"/>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1</w:t>
                  </w:r>
                  <w:r>
                    <w:rPr>
                      <w:rFonts w:ascii="宋体" w:hAnsi="宋体" w:eastAsia="宋体" w:cs="宋体"/>
                      <w:color w:val="auto"/>
                      <w:spacing w:val="-2"/>
                      <w:sz w:val="19"/>
                      <w:szCs w:val="19"/>
                      <w:highlight w:val="none"/>
                    </w:rPr>
                    <w:t>2</w:t>
                  </w:r>
                </w:p>
              </w:tc>
              <w:tc>
                <w:tcPr>
                  <w:tcW w:w="1574" w:type="dxa"/>
                  <w:gridSpan w:val="2"/>
                  <w:tcBorders>
                    <w:left w:val="single" w:color="000000" w:sz="6" w:space="0"/>
                    <w:right w:val="single" w:color="000000" w:sz="6" w:space="0"/>
                  </w:tcBorders>
                  <w:vAlign w:val="top"/>
                </w:tcPr>
                <w:p>
                  <w:pPr>
                    <w:spacing w:before="220" w:line="210" w:lineRule="auto"/>
                    <w:ind w:left="25" w:right="63"/>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变电站系统</w:t>
                  </w:r>
                  <w:r>
                    <w:rPr>
                      <w:rFonts w:ascii="宋体" w:hAnsi="宋体" w:eastAsia="宋体" w:cs="宋体"/>
                      <w:color w:val="auto"/>
                      <w:spacing w:val="3"/>
                      <w:sz w:val="19"/>
                      <w:szCs w:val="19"/>
                      <w:highlight w:val="none"/>
                    </w:rPr>
                    <w:t>调</w:t>
                  </w:r>
                  <w:r>
                    <w:rPr>
                      <w:rFonts w:ascii="宋体" w:hAnsi="宋体" w:eastAsia="宋体" w:cs="宋体"/>
                      <w:color w:val="auto"/>
                      <w:spacing w:val="1"/>
                      <w:sz w:val="19"/>
                      <w:szCs w:val="19"/>
                      <w:highlight w:val="none"/>
                    </w:rPr>
                    <w:t>试</w:t>
                  </w:r>
                </w:p>
              </w:tc>
              <w:tc>
                <w:tcPr>
                  <w:tcW w:w="3318" w:type="dxa"/>
                  <w:gridSpan w:val="2"/>
                  <w:tcBorders>
                    <w:left w:val="single" w:color="000000" w:sz="6" w:space="0"/>
                    <w:right w:val="single" w:color="000000" w:sz="6" w:space="0"/>
                  </w:tcBorders>
                  <w:vAlign w:val="top"/>
                </w:tcPr>
                <w:p>
                  <w:pPr>
                    <w:numPr>
                      <w:ilvl w:val="0"/>
                      <w:numId w:val="5"/>
                    </w:numPr>
                    <w:spacing w:before="130" w:line="203" w:lineRule="auto"/>
                    <w:ind w:left="22" w:right="164" w:firstLine="20"/>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名称:变电站系统调试</w:t>
                  </w:r>
                  <w:r>
                    <w:rPr>
                      <w:rFonts w:ascii="宋体" w:hAnsi="宋体" w:eastAsia="宋体" w:cs="宋体"/>
                      <w:color w:val="auto"/>
                      <w:sz w:val="19"/>
                      <w:szCs w:val="19"/>
                      <w:highlight w:val="none"/>
                    </w:rPr>
                    <w:t xml:space="preserve">    </w:t>
                  </w:r>
                </w:p>
                <w:p>
                  <w:pPr>
                    <w:numPr>
                      <w:ilvl w:val="0"/>
                      <w:numId w:val="0"/>
                    </w:numPr>
                    <w:spacing w:before="130" w:line="203" w:lineRule="auto"/>
                    <w:ind w:left="42" w:leftChars="0" w:right="164" w:rightChars="0"/>
                    <w:rPr>
                      <w:rFonts w:ascii="宋体" w:hAnsi="宋体" w:eastAsia="宋体" w:cs="宋体"/>
                      <w:color w:val="auto"/>
                      <w:sz w:val="19"/>
                      <w:szCs w:val="19"/>
                      <w:highlight w:val="none"/>
                    </w:rPr>
                  </w:pPr>
                  <w:r>
                    <w:rPr>
                      <w:rFonts w:ascii="宋体" w:hAnsi="宋体" w:eastAsia="宋体" w:cs="宋体"/>
                      <w:color w:val="auto"/>
                      <w:sz w:val="19"/>
                      <w:szCs w:val="19"/>
                      <w:highlight w:val="none"/>
                    </w:rPr>
                    <w:t>2.容量(kV.A):容量1000kV · A</w:t>
                  </w:r>
                  <w:r>
                    <w:rPr>
                      <w:rFonts w:ascii="宋体" w:hAnsi="宋体" w:eastAsia="宋体" w:cs="宋体"/>
                      <w:color w:val="auto"/>
                      <w:spacing w:val="11"/>
                      <w:sz w:val="19"/>
                      <w:szCs w:val="19"/>
                      <w:highlight w:val="none"/>
                    </w:rPr>
                    <w:t>以下</w:t>
                  </w:r>
                </w:p>
              </w:tc>
              <w:tc>
                <w:tcPr>
                  <w:tcW w:w="628" w:type="dxa"/>
                  <w:gridSpan w:val="2"/>
                  <w:tcBorders>
                    <w:left w:val="single" w:color="000000" w:sz="6" w:space="0"/>
                    <w:right w:val="single" w:color="000000" w:sz="6" w:space="0"/>
                  </w:tcBorders>
                  <w:vAlign w:val="top"/>
                </w:tcPr>
                <w:p>
                  <w:pPr>
                    <w:spacing w:line="262" w:lineRule="auto"/>
                    <w:rPr>
                      <w:rFonts w:ascii="Arial"/>
                      <w:color w:val="auto"/>
                      <w:sz w:val="21"/>
                      <w:highlight w:val="none"/>
                    </w:rPr>
                  </w:pPr>
                </w:p>
                <w:p>
                  <w:pPr>
                    <w:spacing w:before="62" w:line="230" w:lineRule="auto"/>
                    <w:ind w:left="67"/>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系统</w:t>
                  </w:r>
                </w:p>
              </w:tc>
              <w:tc>
                <w:tcPr>
                  <w:tcW w:w="1110" w:type="dxa"/>
                  <w:gridSpan w:val="2"/>
                  <w:tcBorders>
                    <w:left w:val="single" w:color="000000" w:sz="6" w:space="0"/>
                    <w:right w:val="single" w:color="000000" w:sz="6" w:space="0"/>
                  </w:tcBorders>
                  <w:vAlign w:val="top"/>
                </w:tcPr>
                <w:p>
                  <w:pPr>
                    <w:spacing w:line="295" w:lineRule="auto"/>
                    <w:rPr>
                      <w:rFonts w:ascii="Arial"/>
                      <w:color w:val="auto"/>
                      <w:sz w:val="21"/>
                      <w:highlight w:val="none"/>
                    </w:rPr>
                  </w:pPr>
                </w:p>
                <w:p>
                  <w:pPr>
                    <w:spacing w:before="62" w:line="191" w:lineRule="auto"/>
                    <w:ind w:left="797"/>
                    <w:rPr>
                      <w:rFonts w:ascii="宋体" w:hAnsi="宋体" w:eastAsia="宋体" w:cs="宋体"/>
                      <w:color w:val="auto"/>
                      <w:sz w:val="19"/>
                      <w:szCs w:val="19"/>
                      <w:highlight w:val="none"/>
                    </w:rPr>
                  </w:pPr>
                  <w:r>
                    <w:rPr>
                      <w:rFonts w:ascii="宋体" w:hAnsi="宋体" w:eastAsia="宋体" w:cs="宋体"/>
                      <w:color w:val="auto"/>
                      <w:spacing w:val="-8"/>
                      <w:w w:val="89"/>
                      <w:sz w:val="19"/>
                      <w:szCs w:val="19"/>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82" w:hRule="atLeast"/>
                <w:jc w:val="center"/>
              </w:trPr>
              <w:tc>
                <w:tcPr>
                  <w:tcW w:w="945" w:type="dxa"/>
                  <w:tcBorders>
                    <w:left w:val="single" w:color="000000" w:sz="8" w:space="0"/>
                    <w:right w:val="single" w:color="000000" w:sz="6" w:space="0"/>
                  </w:tcBorders>
                  <w:vAlign w:val="top"/>
                </w:tcPr>
                <w:p>
                  <w:pPr>
                    <w:spacing w:before="224" w:line="190" w:lineRule="auto"/>
                    <w:ind w:left="286"/>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1</w:t>
                  </w:r>
                  <w:r>
                    <w:rPr>
                      <w:rFonts w:ascii="宋体" w:hAnsi="宋体" w:eastAsia="宋体" w:cs="宋体"/>
                      <w:color w:val="auto"/>
                      <w:spacing w:val="-2"/>
                      <w:sz w:val="19"/>
                      <w:szCs w:val="19"/>
                      <w:highlight w:val="none"/>
                    </w:rPr>
                    <w:t>3</w:t>
                  </w:r>
                </w:p>
              </w:tc>
              <w:tc>
                <w:tcPr>
                  <w:tcW w:w="1574" w:type="dxa"/>
                  <w:gridSpan w:val="2"/>
                  <w:tcBorders>
                    <w:left w:val="single" w:color="000000" w:sz="6" w:space="0"/>
                    <w:right w:val="single" w:color="000000" w:sz="6" w:space="0"/>
                  </w:tcBorders>
                  <w:vAlign w:val="top"/>
                </w:tcPr>
                <w:p>
                  <w:pPr>
                    <w:spacing w:before="101" w:line="210" w:lineRule="auto"/>
                    <w:ind w:left="29" w:right="63" w:hanging="6"/>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送</w:t>
                  </w:r>
                  <w:r>
                    <w:rPr>
                      <w:rFonts w:ascii="宋体" w:hAnsi="宋体" w:eastAsia="宋体" w:cs="宋体"/>
                      <w:color w:val="auto"/>
                      <w:spacing w:val="4"/>
                      <w:sz w:val="19"/>
                      <w:szCs w:val="19"/>
                      <w:highlight w:val="none"/>
                    </w:rPr>
                    <w:t>配电装置系</w:t>
                  </w:r>
                  <w:r>
                    <w:rPr>
                      <w:rFonts w:ascii="宋体" w:hAnsi="宋体" w:eastAsia="宋体" w:cs="宋体"/>
                      <w:color w:val="auto"/>
                      <w:sz w:val="19"/>
                      <w:szCs w:val="19"/>
                      <w:highlight w:val="none"/>
                    </w:rPr>
                    <w:t xml:space="preserve"> 统</w:t>
                  </w:r>
                </w:p>
              </w:tc>
              <w:tc>
                <w:tcPr>
                  <w:tcW w:w="3318" w:type="dxa"/>
                  <w:gridSpan w:val="2"/>
                  <w:tcBorders>
                    <w:left w:val="single" w:color="000000" w:sz="6" w:space="0"/>
                    <w:right w:val="single" w:color="000000" w:sz="6" w:space="0"/>
                  </w:tcBorders>
                  <w:vAlign w:val="top"/>
                </w:tcPr>
                <w:p>
                  <w:pPr>
                    <w:numPr>
                      <w:ilvl w:val="0"/>
                      <w:numId w:val="6"/>
                    </w:numPr>
                    <w:spacing w:before="101" w:line="219" w:lineRule="auto"/>
                    <w:ind w:left="30" w:right="177" w:firstLine="12"/>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名称:送配电装置系统调试</w:t>
                  </w:r>
                  <w:r>
                    <w:rPr>
                      <w:rFonts w:ascii="宋体" w:hAnsi="宋体" w:eastAsia="宋体" w:cs="宋体"/>
                      <w:color w:val="auto"/>
                      <w:sz w:val="19"/>
                      <w:szCs w:val="19"/>
                      <w:highlight w:val="none"/>
                    </w:rPr>
                    <w:t xml:space="preserve"> </w:t>
                  </w:r>
                </w:p>
                <w:p>
                  <w:pPr>
                    <w:numPr>
                      <w:ilvl w:val="0"/>
                      <w:numId w:val="0"/>
                    </w:numPr>
                    <w:spacing w:before="101" w:line="219" w:lineRule="auto"/>
                    <w:ind w:left="42" w:leftChars="0" w:right="177" w:rightChars="0"/>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2.电压等级(</w:t>
                  </w:r>
                  <w:r>
                    <w:rPr>
                      <w:rFonts w:ascii="宋体" w:hAnsi="宋体" w:eastAsia="宋体" w:cs="宋体"/>
                      <w:color w:val="auto"/>
                      <w:sz w:val="19"/>
                      <w:szCs w:val="19"/>
                      <w:highlight w:val="none"/>
                    </w:rPr>
                    <w:t>kV</w:t>
                  </w:r>
                  <w:r>
                    <w:rPr>
                      <w:rFonts w:ascii="宋体" w:hAnsi="宋体" w:eastAsia="宋体" w:cs="宋体"/>
                      <w:color w:val="auto"/>
                      <w:spacing w:val="10"/>
                      <w:sz w:val="19"/>
                      <w:szCs w:val="19"/>
                      <w:highlight w:val="none"/>
                    </w:rPr>
                    <w:t>):10</w:t>
                  </w:r>
                  <w:r>
                    <w:rPr>
                      <w:rFonts w:ascii="宋体" w:hAnsi="宋体" w:eastAsia="宋体" w:cs="宋体"/>
                      <w:color w:val="auto"/>
                      <w:sz w:val="19"/>
                      <w:szCs w:val="19"/>
                      <w:highlight w:val="none"/>
                    </w:rPr>
                    <w:t>KV</w:t>
                  </w:r>
                  <w:r>
                    <w:rPr>
                      <w:rFonts w:ascii="宋体" w:hAnsi="宋体" w:eastAsia="宋体" w:cs="宋体"/>
                      <w:color w:val="auto"/>
                      <w:spacing w:val="10"/>
                      <w:sz w:val="19"/>
                      <w:szCs w:val="19"/>
                      <w:highlight w:val="none"/>
                    </w:rPr>
                    <w:t>以</w:t>
                  </w:r>
                  <w:r>
                    <w:rPr>
                      <w:rFonts w:ascii="宋体" w:hAnsi="宋体" w:eastAsia="宋体" w:cs="宋体"/>
                      <w:color w:val="auto"/>
                      <w:spacing w:val="9"/>
                      <w:sz w:val="19"/>
                      <w:szCs w:val="19"/>
                      <w:highlight w:val="none"/>
                    </w:rPr>
                    <w:t>下</w:t>
                  </w:r>
                </w:p>
              </w:tc>
              <w:tc>
                <w:tcPr>
                  <w:tcW w:w="628" w:type="dxa"/>
                  <w:gridSpan w:val="2"/>
                  <w:tcBorders>
                    <w:left w:val="single" w:color="000000" w:sz="6" w:space="0"/>
                    <w:right w:val="single" w:color="000000" w:sz="6" w:space="0"/>
                  </w:tcBorders>
                  <w:vAlign w:val="top"/>
                </w:tcPr>
                <w:p>
                  <w:pPr>
                    <w:spacing w:before="191" w:line="230" w:lineRule="auto"/>
                    <w:ind w:left="67"/>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系统</w:t>
                  </w:r>
                </w:p>
              </w:tc>
              <w:tc>
                <w:tcPr>
                  <w:tcW w:w="1110" w:type="dxa"/>
                  <w:gridSpan w:val="2"/>
                  <w:tcBorders>
                    <w:left w:val="single" w:color="000000" w:sz="6" w:space="0"/>
                    <w:right w:val="single" w:color="000000" w:sz="6" w:space="0"/>
                  </w:tcBorders>
                  <w:vAlign w:val="top"/>
                </w:tcPr>
                <w:p>
                  <w:pPr>
                    <w:spacing w:before="224" w:line="191" w:lineRule="auto"/>
                    <w:ind w:left="797"/>
                    <w:rPr>
                      <w:rFonts w:ascii="宋体" w:hAnsi="宋体" w:eastAsia="宋体" w:cs="宋体"/>
                      <w:color w:val="auto"/>
                      <w:sz w:val="19"/>
                      <w:szCs w:val="19"/>
                      <w:highlight w:val="none"/>
                    </w:rPr>
                  </w:pPr>
                  <w:r>
                    <w:rPr>
                      <w:rFonts w:ascii="宋体" w:hAnsi="宋体" w:eastAsia="宋体" w:cs="宋体"/>
                      <w:color w:val="auto"/>
                      <w:spacing w:val="-8"/>
                      <w:w w:val="89"/>
                      <w:sz w:val="19"/>
                      <w:szCs w:val="19"/>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83" w:hRule="atLeast"/>
                <w:jc w:val="center"/>
              </w:trPr>
              <w:tc>
                <w:tcPr>
                  <w:tcW w:w="945" w:type="dxa"/>
                  <w:tcBorders>
                    <w:left w:val="single" w:color="000000" w:sz="8" w:space="0"/>
                    <w:right w:val="single" w:color="000000" w:sz="6" w:space="0"/>
                  </w:tcBorders>
                  <w:vAlign w:val="top"/>
                </w:tcPr>
                <w:p>
                  <w:pPr>
                    <w:spacing w:before="225" w:line="191" w:lineRule="auto"/>
                    <w:ind w:left="286"/>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1</w:t>
                  </w:r>
                  <w:r>
                    <w:rPr>
                      <w:rFonts w:ascii="宋体" w:hAnsi="宋体" w:eastAsia="宋体" w:cs="宋体"/>
                      <w:color w:val="auto"/>
                      <w:spacing w:val="-2"/>
                      <w:sz w:val="19"/>
                      <w:szCs w:val="19"/>
                      <w:highlight w:val="none"/>
                    </w:rPr>
                    <w:t>4</w:t>
                  </w:r>
                </w:p>
              </w:tc>
              <w:tc>
                <w:tcPr>
                  <w:tcW w:w="1574" w:type="dxa"/>
                  <w:gridSpan w:val="2"/>
                  <w:tcBorders>
                    <w:left w:val="single" w:color="000000" w:sz="6" w:space="0"/>
                    <w:right w:val="single" w:color="000000" w:sz="6" w:space="0"/>
                  </w:tcBorders>
                  <w:vAlign w:val="top"/>
                </w:tcPr>
                <w:p>
                  <w:pPr>
                    <w:spacing w:before="191" w:line="230" w:lineRule="auto"/>
                    <w:ind w:left="25"/>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母线</w:t>
                  </w:r>
                </w:p>
              </w:tc>
              <w:tc>
                <w:tcPr>
                  <w:tcW w:w="3318" w:type="dxa"/>
                  <w:gridSpan w:val="2"/>
                  <w:tcBorders>
                    <w:left w:val="single" w:color="000000" w:sz="6" w:space="0"/>
                    <w:right w:val="single" w:color="000000" w:sz="6" w:space="0"/>
                  </w:tcBorders>
                  <w:vAlign w:val="top"/>
                </w:tcPr>
                <w:p>
                  <w:pPr>
                    <w:numPr>
                      <w:ilvl w:val="0"/>
                      <w:numId w:val="7"/>
                    </w:numPr>
                    <w:spacing w:before="101" w:line="219" w:lineRule="auto"/>
                    <w:ind w:left="30" w:right="312" w:firstLine="12"/>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名称:母线调试</w:t>
                  </w:r>
                  <w:r>
                    <w:rPr>
                      <w:rFonts w:ascii="宋体" w:hAnsi="宋体" w:eastAsia="宋体" w:cs="宋体"/>
                      <w:color w:val="auto"/>
                      <w:sz w:val="19"/>
                      <w:szCs w:val="19"/>
                      <w:highlight w:val="none"/>
                    </w:rPr>
                    <w:t xml:space="preserve">         </w:t>
                  </w:r>
                </w:p>
                <w:p>
                  <w:pPr>
                    <w:numPr>
                      <w:ilvl w:val="0"/>
                      <w:numId w:val="0"/>
                    </w:numPr>
                    <w:spacing w:before="101" w:line="219" w:lineRule="auto"/>
                    <w:ind w:left="42" w:leftChars="0" w:right="312" w:rightChars="0"/>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2.电压等级(</w:t>
                  </w:r>
                  <w:r>
                    <w:rPr>
                      <w:rFonts w:ascii="宋体" w:hAnsi="宋体" w:eastAsia="宋体" w:cs="宋体"/>
                      <w:color w:val="auto"/>
                      <w:sz w:val="19"/>
                      <w:szCs w:val="19"/>
                      <w:highlight w:val="none"/>
                    </w:rPr>
                    <w:t>kV</w:t>
                  </w:r>
                  <w:r>
                    <w:rPr>
                      <w:rFonts w:ascii="宋体" w:hAnsi="宋体" w:eastAsia="宋体" w:cs="宋体"/>
                      <w:color w:val="auto"/>
                      <w:spacing w:val="10"/>
                      <w:sz w:val="19"/>
                      <w:szCs w:val="19"/>
                      <w:highlight w:val="none"/>
                    </w:rPr>
                    <w:t>):10</w:t>
                  </w:r>
                  <w:r>
                    <w:rPr>
                      <w:rFonts w:ascii="宋体" w:hAnsi="宋体" w:eastAsia="宋体" w:cs="宋体"/>
                      <w:color w:val="auto"/>
                      <w:sz w:val="19"/>
                      <w:szCs w:val="19"/>
                      <w:highlight w:val="none"/>
                    </w:rPr>
                    <w:t>KV</w:t>
                  </w:r>
                  <w:r>
                    <w:rPr>
                      <w:rFonts w:ascii="宋体" w:hAnsi="宋体" w:eastAsia="宋体" w:cs="宋体"/>
                      <w:color w:val="auto"/>
                      <w:spacing w:val="10"/>
                      <w:sz w:val="19"/>
                      <w:szCs w:val="19"/>
                      <w:highlight w:val="none"/>
                    </w:rPr>
                    <w:t>以</w:t>
                  </w:r>
                  <w:r>
                    <w:rPr>
                      <w:rFonts w:ascii="宋体" w:hAnsi="宋体" w:eastAsia="宋体" w:cs="宋体"/>
                      <w:color w:val="auto"/>
                      <w:spacing w:val="9"/>
                      <w:sz w:val="19"/>
                      <w:szCs w:val="19"/>
                      <w:highlight w:val="none"/>
                    </w:rPr>
                    <w:t>下</w:t>
                  </w:r>
                </w:p>
              </w:tc>
              <w:tc>
                <w:tcPr>
                  <w:tcW w:w="628" w:type="dxa"/>
                  <w:gridSpan w:val="2"/>
                  <w:tcBorders>
                    <w:left w:val="single" w:color="000000" w:sz="6" w:space="0"/>
                    <w:right w:val="single" w:color="000000" w:sz="6" w:space="0"/>
                  </w:tcBorders>
                  <w:vAlign w:val="top"/>
                </w:tcPr>
                <w:p>
                  <w:pPr>
                    <w:spacing w:before="192" w:line="230" w:lineRule="auto"/>
                    <w:ind w:left="168"/>
                    <w:rPr>
                      <w:rFonts w:ascii="宋体" w:hAnsi="宋体" w:eastAsia="宋体" w:cs="宋体"/>
                      <w:color w:val="auto"/>
                      <w:sz w:val="19"/>
                      <w:szCs w:val="19"/>
                      <w:highlight w:val="none"/>
                    </w:rPr>
                  </w:pPr>
                  <w:r>
                    <w:rPr>
                      <w:rFonts w:ascii="宋体" w:hAnsi="宋体" w:eastAsia="宋体" w:cs="宋体"/>
                      <w:color w:val="auto"/>
                      <w:sz w:val="19"/>
                      <w:szCs w:val="19"/>
                      <w:highlight w:val="none"/>
                    </w:rPr>
                    <w:t>段</w:t>
                  </w:r>
                </w:p>
              </w:tc>
              <w:tc>
                <w:tcPr>
                  <w:tcW w:w="1110" w:type="dxa"/>
                  <w:gridSpan w:val="2"/>
                  <w:tcBorders>
                    <w:left w:val="single" w:color="000000" w:sz="6" w:space="0"/>
                    <w:right w:val="single" w:color="000000" w:sz="6" w:space="0"/>
                  </w:tcBorders>
                  <w:vAlign w:val="top"/>
                </w:tcPr>
                <w:p>
                  <w:pPr>
                    <w:spacing w:before="225" w:line="191" w:lineRule="auto"/>
                    <w:ind w:left="797"/>
                    <w:rPr>
                      <w:rFonts w:ascii="宋体" w:hAnsi="宋体" w:eastAsia="宋体" w:cs="宋体"/>
                      <w:color w:val="auto"/>
                      <w:sz w:val="19"/>
                      <w:szCs w:val="19"/>
                      <w:highlight w:val="none"/>
                    </w:rPr>
                  </w:pPr>
                  <w:r>
                    <w:rPr>
                      <w:rFonts w:ascii="宋体" w:hAnsi="宋体" w:eastAsia="宋体" w:cs="宋体"/>
                      <w:color w:val="auto"/>
                      <w:spacing w:val="-8"/>
                      <w:w w:val="89"/>
                      <w:sz w:val="19"/>
                      <w:szCs w:val="19"/>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82" w:hRule="atLeast"/>
                <w:jc w:val="center"/>
              </w:trPr>
              <w:tc>
                <w:tcPr>
                  <w:tcW w:w="945" w:type="dxa"/>
                  <w:tcBorders>
                    <w:left w:val="single" w:color="000000" w:sz="8" w:space="0"/>
                    <w:right w:val="single" w:color="000000" w:sz="6" w:space="0"/>
                  </w:tcBorders>
                  <w:vAlign w:val="top"/>
                </w:tcPr>
                <w:p>
                  <w:pPr>
                    <w:spacing w:before="224" w:line="190" w:lineRule="auto"/>
                    <w:ind w:left="286"/>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1</w:t>
                  </w:r>
                  <w:r>
                    <w:rPr>
                      <w:rFonts w:ascii="宋体" w:hAnsi="宋体" w:eastAsia="宋体" w:cs="宋体"/>
                      <w:color w:val="auto"/>
                      <w:spacing w:val="-2"/>
                      <w:sz w:val="19"/>
                      <w:szCs w:val="19"/>
                      <w:highlight w:val="none"/>
                    </w:rPr>
                    <w:t>5</w:t>
                  </w:r>
                </w:p>
              </w:tc>
              <w:tc>
                <w:tcPr>
                  <w:tcW w:w="1574" w:type="dxa"/>
                  <w:gridSpan w:val="2"/>
                  <w:tcBorders>
                    <w:left w:val="single" w:color="000000" w:sz="6" w:space="0"/>
                    <w:right w:val="single" w:color="000000" w:sz="6" w:space="0"/>
                  </w:tcBorders>
                  <w:vAlign w:val="top"/>
                </w:tcPr>
                <w:p>
                  <w:pPr>
                    <w:spacing w:before="192" w:line="229" w:lineRule="auto"/>
                    <w:ind w:left="48"/>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电缆试</w:t>
                  </w:r>
                  <w:r>
                    <w:rPr>
                      <w:rFonts w:ascii="宋体" w:hAnsi="宋体" w:eastAsia="宋体" w:cs="宋体"/>
                      <w:color w:val="auto"/>
                      <w:spacing w:val="-1"/>
                      <w:sz w:val="19"/>
                      <w:szCs w:val="19"/>
                      <w:highlight w:val="none"/>
                    </w:rPr>
                    <w:t>验</w:t>
                  </w:r>
                </w:p>
              </w:tc>
              <w:tc>
                <w:tcPr>
                  <w:tcW w:w="3318" w:type="dxa"/>
                  <w:gridSpan w:val="2"/>
                  <w:tcBorders>
                    <w:left w:val="single" w:color="000000" w:sz="6" w:space="0"/>
                    <w:right w:val="single" w:color="000000" w:sz="6" w:space="0"/>
                  </w:tcBorders>
                  <w:vAlign w:val="top"/>
                </w:tcPr>
                <w:p>
                  <w:pPr>
                    <w:numPr>
                      <w:ilvl w:val="0"/>
                      <w:numId w:val="8"/>
                    </w:numPr>
                    <w:spacing w:before="101" w:line="219" w:lineRule="auto"/>
                    <w:ind w:left="30" w:right="371" w:firstLine="12"/>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名称:电缆交流耐压试验</w:t>
                  </w:r>
                  <w:r>
                    <w:rPr>
                      <w:rFonts w:ascii="宋体" w:hAnsi="宋体" w:eastAsia="宋体" w:cs="宋体"/>
                      <w:color w:val="auto"/>
                      <w:sz w:val="19"/>
                      <w:szCs w:val="19"/>
                      <w:highlight w:val="none"/>
                    </w:rPr>
                    <w:t xml:space="preserve"> </w:t>
                  </w:r>
                </w:p>
                <w:p>
                  <w:pPr>
                    <w:numPr>
                      <w:ilvl w:val="0"/>
                      <w:numId w:val="0"/>
                    </w:numPr>
                    <w:spacing w:before="101" w:line="219" w:lineRule="auto"/>
                    <w:ind w:left="42" w:leftChars="0" w:right="371" w:rightChars="0"/>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2.电压等级(</w:t>
                  </w:r>
                  <w:r>
                    <w:rPr>
                      <w:rFonts w:ascii="宋体" w:hAnsi="宋体" w:eastAsia="宋体" w:cs="宋体"/>
                      <w:color w:val="auto"/>
                      <w:sz w:val="19"/>
                      <w:szCs w:val="19"/>
                      <w:highlight w:val="none"/>
                    </w:rPr>
                    <w:t>kV</w:t>
                  </w:r>
                  <w:r>
                    <w:rPr>
                      <w:rFonts w:ascii="宋体" w:hAnsi="宋体" w:eastAsia="宋体" w:cs="宋体"/>
                      <w:color w:val="auto"/>
                      <w:spacing w:val="10"/>
                      <w:sz w:val="19"/>
                      <w:szCs w:val="19"/>
                      <w:highlight w:val="none"/>
                    </w:rPr>
                    <w:t>):1</w:t>
                  </w:r>
                  <w:r>
                    <w:rPr>
                      <w:rFonts w:ascii="宋体" w:hAnsi="宋体" w:eastAsia="宋体" w:cs="宋体"/>
                      <w:color w:val="auto"/>
                      <w:spacing w:val="9"/>
                      <w:sz w:val="19"/>
                      <w:szCs w:val="19"/>
                      <w:highlight w:val="none"/>
                    </w:rPr>
                    <w:t>0</w:t>
                  </w:r>
                  <w:r>
                    <w:rPr>
                      <w:rFonts w:ascii="宋体" w:hAnsi="宋体" w:eastAsia="宋体" w:cs="宋体"/>
                      <w:color w:val="auto"/>
                      <w:sz w:val="19"/>
                      <w:szCs w:val="19"/>
                      <w:highlight w:val="none"/>
                    </w:rPr>
                    <w:t>KV</w:t>
                  </w:r>
                </w:p>
              </w:tc>
              <w:tc>
                <w:tcPr>
                  <w:tcW w:w="628" w:type="dxa"/>
                  <w:gridSpan w:val="2"/>
                  <w:tcBorders>
                    <w:left w:val="single" w:color="000000" w:sz="6" w:space="0"/>
                    <w:right w:val="single" w:color="000000" w:sz="6" w:space="0"/>
                  </w:tcBorders>
                  <w:vAlign w:val="top"/>
                </w:tcPr>
                <w:p>
                  <w:pPr>
                    <w:spacing w:before="192" w:line="229" w:lineRule="auto"/>
                    <w:ind w:left="173"/>
                    <w:rPr>
                      <w:rFonts w:ascii="宋体" w:hAnsi="宋体" w:eastAsia="宋体" w:cs="宋体"/>
                      <w:color w:val="auto"/>
                      <w:sz w:val="19"/>
                      <w:szCs w:val="19"/>
                      <w:highlight w:val="none"/>
                    </w:rPr>
                  </w:pPr>
                  <w:r>
                    <w:rPr>
                      <w:rFonts w:ascii="宋体" w:hAnsi="宋体" w:eastAsia="宋体" w:cs="宋体"/>
                      <w:color w:val="auto"/>
                      <w:sz w:val="19"/>
                      <w:szCs w:val="19"/>
                      <w:highlight w:val="none"/>
                    </w:rPr>
                    <w:t>次</w:t>
                  </w:r>
                </w:p>
              </w:tc>
              <w:tc>
                <w:tcPr>
                  <w:tcW w:w="1110" w:type="dxa"/>
                  <w:gridSpan w:val="2"/>
                  <w:tcBorders>
                    <w:left w:val="single" w:color="000000" w:sz="6" w:space="0"/>
                    <w:right w:val="single" w:color="000000" w:sz="6" w:space="0"/>
                  </w:tcBorders>
                  <w:vAlign w:val="top"/>
                </w:tcPr>
                <w:p>
                  <w:pPr>
                    <w:spacing w:before="225" w:line="191" w:lineRule="auto"/>
                    <w:ind w:left="797"/>
                    <w:rPr>
                      <w:rFonts w:ascii="宋体" w:hAnsi="宋体" w:eastAsia="宋体" w:cs="宋体"/>
                      <w:color w:val="auto"/>
                      <w:sz w:val="19"/>
                      <w:szCs w:val="19"/>
                      <w:highlight w:val="none"/>
                    </w:rPr>
                  </w:pPr>
                  <w:r>
                    <w:rPr>
                      <w:rFonts w:ascii="宋体" w:hAnsi="宋体" w:eastAsia="宋体" w:cs="宋体"/>
                      <w:color w:val="auto"/>
                      <w:spacing w:val="-8"/>
                      <w:w w:val="89"/>
                      <w:sz w:val="19"/>
                      <w:szCs w:val="19"/>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83" w:hRule="atLeast"/>
                <w:jc w:val="center"/>
              </w:trPr>
              <w:tc>
                <w:tcPr>
                  <w:tcW w:w="945" w:type="dxa"/>
                  <w:tcBorders>
                    <w:left w:val="single" w:color="000000" w:sz="8" w:space="0"/>
                    <w:right w:val="single" w:color="000000" w:sz="6" w:space="0"/>
                  </w:tcBorders>
                  <w:vAlign w:val="top"/>
                </w:tcPr>
                <w:p>
                  <w:pPr>
                    <w:spacing w:before="225" w:line="190" w:lineRule="auto"/>
                    <w:ind w:left="286"/>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1</w:t>
                  </w:r>
                  <w:r>
                    <w:rPr>
                      <w:rFonts w:ascii="宋体" w:hAnsi="宋体" w:eastAsia="宋体" w:cs="宋体"/>
                      <w:color w:val="auto"/>
                      <w:spacing w:val="-2"/>
                      <w:sz w:val="19"/>
                      <w:szCs w:val="19"/>
                      <w:highlight w:val="none"/>
                    </w:rPr>
                    <w:t>6</w:t>
                  </w:r>
                </w:p>
              </w:tc>
              <w:tc>
                <w:tcPr>
                  <w:tcW w:w="1574" w:type="dxa"/>
                  <w:gridSpan w:val="2"/>
                  <w:tcBorders>
                    <w:left w:val="single" w:color="000000" w:sz="6" w:space="0"/>
                    <w:right w:val="single" w:color="000000" w:sz="6" w:space="0"/>
                  </w:tcBorders>
                  <w:vAlign w:val="top"/>
                </w:tcPr>
                <w:p>
                  <w:pPr>
                    <w:spacing w:before="192" w:line="229" w:lineRule="auto"/>
                    <w:ind w:left="48"/>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电缆试</w:t>
                  </w:r>
                  <w:r>
                    <w:rPr>
                      <w:rFonts w:ascii="宋体" w:hAnsi="宋体" w:eastAsia="宋体" w:cs="宋体"/>
                      <w:color w:val="auto"/>
                      <w:spacing w:val="-1"/>
                      <w:sz w:val="19"/>
                      <w:szCs w:val="19"/>
                      <w:highlight w:val="none"/>
                    </w:rPr>
                    <w:t>验</w:t>
                  </w:r>
                </w:p>
              </w:tc>
              <w:tc>
                <w:tcPr>
                  <w:tcW w:w="3318" w:type="dxa"/>
                  <w:gridSpan w:val="2"/>
                  <w:tcBorders>
                    <w:left w:val="single" w:color="000000" w:sz="6" w:space="0"/>
                    <w:right w:val="single" w:color="000000" w:sz="6" w:space="0"/>
                  </w:tcBorders>
                  <w:vAlign w:val="top"/>
                </w:tcPr>
                <w:p>
                  <w:pPr>
                    <w:spacing w:before="102" w:line="197" w:lineRule="auto"/>
                    <w:ind w:left="43"/>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1</w:t>
                  </w:r>
                  <w:r>
                    <w:rPr>
                      <w:rFonts w:ascii="宋体" w:hAnsi="宋体" w:eastAsia="宋体" w:cs="宋体"/>
                      <w:color w:val="auto"/>
                      <w:spacing w:val="4"/>
                      <w:sz w:val="19"/>
                      <w:szCs w:val="19"/>
                      <w:highlight w:val="none"/>
                    </w:rPr>
                    <w:t>.名称:电缆局放试验</w:t>
                  </w:r>
                </w:p>
                <w:p>
                  <w:pPr>
                    <w:ind w:left="30"/>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2.电压等级(</w:t>
                  </w:r>
                  <w:r>
                    <w:rPr>
                      <w:rFonts w:ascii="宋体" w:hAnsi="宋体" w:eastAsia="宋体" w:cs="宋体"/>
                      <w:color w:val="auto"/>
                      <w:sz w:val="19"/>
                      <w:szCs w:val="19"/>
                      <w:highlight w:val="none"/>
                    </w:rPr>
                    <w:t>kV</w:t>
                  </w:r>
                  <w:r>
                    <w:rPr>
                      <w:rFonts w:ascii="宋体" w:hAnsi="宋体" w:eastAsia="宋体" w:cs="宋体"/>
                      <w:color w:val="auto"/>
                      <w:spacing w:val="10"/>
                      <w:sz w:val="19"/>
                      <w:szCs w:val="19"/>
                      <w:highlight w:val="none"/>
                    </w:rPr>
                    <w:t>):1</w:t>
                  </w:r>
                  <w:r>
                    <w:rPr>
                      <w:rFonts w:ascii="宋体" w:hAnsi="宋体" w:eastAsia="宋体" w:cs="宋体"/>
                      <w:color w:val="auto"/>
                      <w:spacing w:val="9"/>
                      <w:sz w:val="19"/>
                      <w:szCs w:val="19"/>
                      <w:highlight w:val="none"/>
                    </w:rPr>
                    <w:t>0</w:t>
                  </w:r>
                  <w:r>
                    <w:rPr>
                      <w:rFonts w:ascii="宋体" w:hAnsi="宋体" w:eastAsia="宋体" w:cs="宋体"/>
                      <w:color w:val="auto"/>
                      <w:sz w:val="19"/>
                      <w:szCs w:val="19"/>
                      <w:highlight w:val="none"/>
                    </w:rPr>
                    <w:t>KV</w:t>
                  </w:r>
                </w:p>
              </w:tc>
              <w:tc>
                <w:tcPr>
                  <w:tcW w:w="628" w:type="dxa"/>
                  <w:gridSpan w:val="2"/>
                  <w:tcBorders>
                    <w:left w:val="single" w:color="000000" w:sz="6" w:space="0"/>
                    <w:right w:val="single" w:color="000000" w:sz="6" w:space="0"/>
                  </w:tcBorders>
                  <w:vAlign w:val="top"/>
                </w:tcPr>
                <w:p>
                  <w:pPr>
                    <w:spacing w:before="192" w:line="229" w:lineRule="auto"/>
                    <w:ind w:left="173"/>
                    <w:rPr>
                      <w:rFonts w:ascii="宋体" w:hAnsi="宋体" w:eastAsia="宋体" w:cs="宋体"/>
                      <w:color w:val="auto"/>
                      <w:sz w:val="19"/>
                      <w:szCs w:val="19"/>
                      <w:highlight w:val="none"/>
                    </w:rPr>
                  </w:pPr>
                  <w:r>
                    <w:rPr>
                      <w:rFonts w:ascii="宋体" w:hAnsi="宋体" w:eastAsia="宋体" w:cs="宋体"/>
                      <w:color w:val="auto"/>
                      <w:sz w:val="19"/>
                      <w:szCs w:val="19"/>
                      <w:highlight w:val="none"/>
                    </w:rPr>
                    <w:t>次</w:t>
                  </w:r>
                </w:p>
              </w:tc>
              <w:tc>
                <w:tcPr>
                  <w:tcW w:w="1110" w:type="dxa"/>
                  <w:gridSpan w:val="2"/>
                  <w:tcBorders>
                    <w:left w:val="single" w:color="000000" w:sz="6" w:space="0"/>
                    <w:right w:val="single" w:color="000000" w:sz="6" w:space="0"/>
                  </w:tcBorders>
                  <w:vAlign w:val="top"/>
                </w:tcPr>
                <w:p>
                  <w:pPr>
                    <w:spacing w:before="226" w:line="191" w:lineRule="auto"/>
                    <w:ind w:left="797"/>
                    <w:rPr>
                      <w:rFonts w:ascii="宋体" w:hAnsi="宋体" w:eastAsia="宋体" w:cs="宋体"/>
                      <w:color w:val="auto"/>
                      <w:sz w:val="19"/>
                      <w:szCs w:val="19"/>
                      <w:highlight w:val="none"/>
                    </w:rPr>
                  </w:pPr>
                  <w:r>
                    <w:rPr>
                      <w:rFonts w:ascii="宋体" w:hAnsi="宋体" w:eastAsia="宋体" w:cs="宋体"/>
                      <w:color w:val="auto"/>
                      <w:spacing w:val="-8"/>
                      <w:w w:val="89"/>
                      <w:sz w:val="19"/>
                      <w:szCs w:val="19"/>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83" w:hRule="atLeast"/>
                <w:jc w:val="center"/>
              </w:trPr>
              <w:tc>
                <w:tcPr>
                  <w:tcW w:w="945" w:type="dxa"/>
                  <w:tcBorders>
                    <w:left w:val="single" w:color="000000" w:sz="8" w:space="0"/>
                    <w:right w:val="single" w:color="000000" w:sz="6" w:space="0"/>
                  </w:tcBorders>
                  <w:vAlign w:val="top"/>
                </w:tcPr>
                <w:p>
                  <w:pPr>
                    <w:spacing w:before="225" w:line="190" w:lineRule="auto"/>
                    <w:ind w:left="286"/>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1</w:t>
                  </w:r>
                  <w:r>
                    <w:rPr>
                      <w:rFonts w:ascii="宋体" w:hAnsi="宋体" w:eastAsia="宋体" w:cs="宋体"/>
                      <w:color w:val="auto"/>
                      <w:spacing w:val="-2"/>
                      <w:sz w:val="19"/>
                      <w:szCs w:val="19"/>
                      <w:highlight w:val="none"/>
                    </w:rPr>
                    <w:t>7</w:t>
                  </w:r>
                </w:p>
              </w:tc>
              <w:tc>
                <w:tcPr>
                  <w:tcW w:w="1574" w:type="dxa"/>
                  <w:gridSpan w:val="2"/>
                  <w:tcBorders>
                    <w:left w:val="single" w:color="000000" w:sz="6" w:space="0"/>
                    <w:right w:val="single" w:color="000000" w:sz="6" w:space="0"/>
                  </w:tcBorders>
                  <w:vAlign w:val="top"/>
                </w:tcPr>
                <w:p>
                  <w:pPr>
                    <w:spacing w:before="102" w:line="210" w:lineRule="auto"/>
                    <w:ind w:left="30" w:right="63" w:firstLine="18"/>
                    <w:rPr>
                      <w:rFonts w:ascii="宋体" w:hAnsi="宋体" w:eastAsia="宋体" w:cs="宋体"/>
                      <w:color w:val="auto"/>
                      <w:sz w:val="19"/>
                      <w:szCs w:val="19"/>
                      <w:highlight w:val="none"/>
                    </w:rPr>
                  </w:pPr>
                  <w:r>
                    <w:rPr>
                      <w:rFonts w:ascii="宋体" w:hAnsi="宋体" w:eastAsia="宋体" w:cs="宋体"/>
                      <w:color w:val="auto"/>
                      <w:sz w:val="19"/>
                      <w:szCs w:val="19"/>
                      <w:highlight w:val="none"/>
                    </w:rPr>
                    <w:t>电力变压器系 统</w:t>
                  </w:r>
                </w:p>
              </w:tc>
              <w:tc>
                <w:tcPr>
                  <w:tcW w:w="3318" w:type="dxa"/>
                  <w:gridSpan w:val="2"/>
                  <w:tcBorders>
                    <w:left w:val="single" w:color="000000" w:sz="6" w:space="0"/>
                    <w:right w:val="single" w:color="000000" w:sz="6" w:space="0"/>
                  </w:tcBorders>
                  <w:vAlign w:val="top"/>
                </w:tcPr>
                <w:p>
                  <w:pPr>
                    <w:spacing w:before="101" w:line="211" w:lineRule="auto"/>
                    <w:ind w:left="29" w:right="56" w:firstLine="13"/>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1</w:t>
                  </w:r>
                  <w:r>
                    <w:rPr>
                      <w:rFonts w:ascii="宋体" w:hAnsi="宋体" w:eastAsia="宋体" w:cs="宋体"/>
                      <w:color w:val="auto"/>
                      <w:spacing w:val="6"/>
                      <w:sz w:val="19"/>
                      <w:szCs w:val="19"/>
                      <w:highlight w:val="none"/>
                    </w:rPr>
                    <w:t>.</w:t>
                  </w:r>
                  <w:r>
                    <w:rPr>
                      <w:rFonts w:ascii="宋体" w:hAnsi="宋体" w:eastAsia="宋体" w:cs="宋体"/>
                      <w:color w:val="auto"/>
                      <w:spacing w:val="5"/>
                      <w:sz w:val="19"/>
                      <w:szCs w:val="19"/>
                      <w:highlight w:val="none"/>
                    </w:rPr>
                    <w:t>名称:"五防"系统调试 变电</w:t>
                  </w:r>
                  <w:r>
                    <w:rPr>
                      <w:rFonts w:ascii="宋体" w:hAnsi="宋体" w:eastAsia="宋体" w:cs="宋体"/>
                      <w:color w:val="auto"/>
                      <w:sz w:val="19"/>
                      <w:szCs w:val="19"/>
                      <w:highlight w:val="none"/>
                    </w:rPr>
                    <w:t xml:space="preserve"> </w:t>
                  </w:r>
                  <w:r>
                    <w:rPr>
                      <w:rFonts w:ascii="宋体" w:hAnsi="宋体" w:eastAsia="宋体" w:cs="宋体"/>
                      <w:color w:val="auto"/>
                      <w:spacing w:val="6"/>
                      <w:sz w:val="19"/>
                      <w:szCs w:val="19"/>
                      <w:highlight w:val="none"/>
                    </w:rPr>
                    <w:t>站</w:t>
                  </w:r>
                  <w:r>
                    <w:rPr>
                      <w:rFonts w:ascii="宋体" w:hAnsi="宋体" w:eastAsia="宋体" w:cs="宋体"/>
                      <w:color w:val="auto"/>
                      <w:spacing w:val="3"/>
                      <w:sz w:val="19"/>
                      <w:szCs w:val="19"/>
                      <w:highlight w:val="none"/>
                    </w:rPr>
                    <w:t>、配电室</w:t>
                  </w:r>
                </w:p>
              </w:tc>
              <w:tc>
                <w:tcPr>
                  <w:tcW w:w="628" w:type="dxa"/>
                  <w:gridSpan w:val="2"/>
                  <w:tcBorders>
                    <w:left w:val="single" w:color="000000" w:sz="6" w:space="0"/>
                    <w:right w:val="single" w:color="000000" w:sz="6" w:space="0"/>
                  </w:tcBorders>
                  <w:vAlign w:val="top"/>
                </w:tcPr>
                <w:p>
                  <w:pPr>
                    <w:spacing w:before="193" w:line="230" w:lineRule="auto"/>
                    <w:ind w:left="67"/>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系统</w:t>
                  </w:r>
                </w:p>
              </w:tc>
              <w:tc>
                <w:tcPr>
                  <w:tcW w:w="1110" w:type="dxa"/>
                  <w:gridSpan w:val="2"/>
                  <w:tcBorders>
                    <w:left w:val="single" w:color="000000" w:sz="6" w:space="0"/>
                    <w:right w:val="single" w:color="000000" w:sz="6" w:space="0"/>
                  </w:tcBorders>
                  <w:vAlign w:val="top"/>
                </w:tcPr>
                <w:p>
                  <w:pPr>
                    <w:spacing w:before="225" w:line="191" w:lineRule="auto"/>
                    <w:ind w:left="797"/>
                    <w:rPr>
                      <w:rFonts w:ascii="宋体" w:hAnsi="宋体" w:eastAsia="宋体" w:cs="宋体"/>
                      <w:color w:val="auto"/>
                      <w:sz w:val="19"/>
                      <w:szCs w:val="19"/>
                      <w:highlight w:val="none"/>
                    </w:rPr>
                  </w:pPr>
                  <w:r>
                    <w:rPr>
                      <w:rFonts w:ascii="宋体" w:hAnsi="宋体" w:eastAsia="宋体" w:cs="宋体"/>
                      <w:color w:val="auto"/>
                      <w:spacing w:val="-8"/>
                      <w:w w:val="89"/>
                      <w:sz w:val="19"/>
                      <w:szCs w:val="19"/>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81" w:hRule="atLeast"/>
                <w:jc w:val="center"/>
              </w:trPr>
              <w:tc>
                <w:tcPr>
                  <w:tcW w:w="945" w:type="dxa"/>
                  <w:tcBorders>
                    <w:left w:val="single" w:color="000000" w:sz="8" w:space="0"/>
                    <w:right w:val="single" w:color="000000" w:sz="6" w:space="0"/>
                  </w:tcBorders>
                  <w:vAlign w:val="top"/>
                </w:tcPr>
                <w:p>
                  <w:pPr>
                    <w:spacing w:before="120" w:line="190" w:lineRule="auto"/>
                    <w:ind w:left="286"/>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1</w:t>
                  </w:r>
                  <w:r>
                    <w:rPr>
                      <w:rFonts w:ascii="宋体" w:hAnsi="宋体" w:eastAsia="宋体" w:cs="宋体"/>
                      <w:color w:val="auto"/>
                      <w:spacing w:val="-2"/>
                      <w:sz w:val="19"/>
                      <w:szCs w:val="19"/>
                      <w:highlight w:val="none"/>
                    </w:rPr>
                    <w:t>8</w:t>
                  </w:r>
                </w:p>
              </w:tc>
              <w:tc>
                <w:tcPr>
                  <w:tcW w:w="1574" w:type="dxa"/>
                  <w:gridSpan w:val="2"/>
                  <w:tcBorders>
                    <w:left w:val="single" w:color="000000" w:sz="6" w:space="0"/>
                    <w:right w:val="single" w:color="000000" w:sz="6" w:space="0"/>
                  </w:tcBorders>
                  <w:vAlign w:val="top"/>
                </w:tcPr>
                <w:p>
                  <w:pPr>
                    <w:spacing w:before="87" w:line="230" w:lineRule="auto"/>
                    <w:ind w:left="24"/>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接地装置调试</w:t>
                  </w:r>
                </w:p>
              </w:tc>
              <w:tc>
                <w:tcPr>
                  <w:tcW w:w="3318" w:type="dxa"/>
                  <w:gridSpan w:val="2"/>
                  <w:tcBorders>
                    <w:left w:val="single" w:color="000000" w:sz="6" w:space="0"/>
                    <w:right w:val="single" w:color="000000" w:sz="6" w:space="0"/>
                  </w:tcBorders>
                  <w:vAlign w:val="top"/>
                </w:tcPr>
                <w:p>
                  <w:pPr>
                    <w:spacing w:before="88" w:line="230" w:lineRule="auto"/>
                    <w:ind w:left="43"/>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1.名称:接地装置调试 接地</w:t>
                  </w:r>
                  <w:r>
                    <w:rPr>
                      <w:rFonts w:ascii="宋体" w:hAnsi="宋体" w:eastAsia="宋体" w:cs="宋体"/>
                      <w:color w:val="auto"/>
                      <w:spacing w:val="2"/>
                      <w:sz w:val="19"/>
                      <w:szCs w:val="19"/>
                      <w:highlight w:val="none"/>
                    </w:rPr>
                    <w:t>网</w:t>
                  </w:r>
                </w:p>
              </w:tc>
              <w:tc>
                <w:tcPr>
                  <w:tcW w:w="628" w:type="dxa"/>
                  <w:gridSpan w:val="2"/>
                  <w:tcBorders>
                    <w:left w:val="single" w:color="000000" w:sz="6" w:space="0"/>
                    <w:right w:val="single" w:color="000000" w:sz="6" w:space="0"/>
                  </w:tcBorders>
                  <w:vAlign w:val="top"/>
                </w:tcPr>
                <w:p>
                  <w:pPr>
                    <w:spacing w:before="88" w:line="230" w:lineRule="auto"/>
                    <w:ind w:left="67"/>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系统</w:t>
                  </w:r>
                </w:p>
              </w:tc>
              <w:tc>
                <w:tcPr>
                  <w:tcW w:w="1110" w:type="dxa"/>
                  <w:gridSpan w:val="2"/>
                  <w:tcBorders>
                    <w:left w:val="single" w:color="000000" w:sz="6" w:space="0"/>
                    <w:right w:val="single" w:color="000000" w:sz="6" w:space="0"/>
                  </w:tcBorders>
                  <w:vAlign w:val="top"/>
                </w:tcPr>
                <w:p>
                  <w:pPr>
                    <w:spacing w:before="120" w:line="191" w:lineRule="auto"/>
                    <w:ind w:left="797"/>
                    <w:rPr>
                      <w:rFonts w:ascii="宋体" w:hAnsi="宋体" w:eastAsia="宋体" w:cs="宋体"/>
                      <w:color w:val="auto"/>
                      <w:sz w:val="19"/>
                      <w:szCs w:val="19"/>
                      <w:highlight w:val="none"/>
                    </w:rPr>
                  </w:pPr>
                  <w:r>
                    <w:rPr>
                      <w:rFonts w:ascii="宋体" w:hAnsi="宋体" w:eastAsia="宋体" w:cs="宋体"/>
                      <w:color w:val="auto"/>
                      <w:spacing w:val="-8"/>
                      <w:w w:val="89"/>
                      <w:sz w:val="19"/>
                      <w:szCs w:val="19"/>
                      <w:highlight w:val="none"/>
                    </w:rPr>
                    <w:t>1</w:t>
                  </w:r>
                </w:p>
              </w:tc>
            </w:tr>
          </w:tbl>
          <w:p>
            <w:pPr>
              <w:pStyle w:val="22"/>
              <w:keepNext w:val="0"/>
              <w:keepLines w:val="0"/>
              <w:pageBreakBefore w:val="0"/>
              <w:widowControl w:val="0"/>
              <w:numPr>
                <w:ilvl w:val="0"/>
                <w:numId w:val="0"/>
              </w:numPr>
              <w:kinsoku/>
              <w:overflowPunct/>
              <w:topLinePunct w:val="0"/>
              <w:autoSpaceDE/>
              <w:autoSpaceDN/>
              <w:bidi w:val="0"/>
              <w:adjustRightInd/>
              <w:snapToGrid/>
              <w:jc w:val="left"/>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pPr>
              <w:pStyle w:val="22"/>
              <w:keepNext w:val="0"/>
              <w:keepLines w:val="0"/>
              <w:pageBreakBefore w:val="0"/>
              <w:widowControl w:val="0"/>
              <w:numPr>
                <w:ilvl w:val="0"/>
                <w:numId w:val="0"/>
              </w:numPr>
              <w:kinsoku/>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p>
        </w:tc>
        <w:tc>
          <w:tcPr>
            <w:tcW w:w="8584" w:type="dxa"/>
            <w:gridSpan w:val="2"/>
          </w:tcPr>
          <w:p>
            <w:pPr>
              <w:pStyle w:val="22"/>
              <w:keepNext w:val="0"/>
              <w:keepLines w:val="0"/>
              <w:pageBreakBefore w:val="0"/>
              <w:widowControl w:val="0"/>
              <w:numPr>
                <w:ilvl w:val="0"/>
                <w:numId w:val="0"/>
              </w:numPr>
              <w:kinsoku/>
              <w:overflowPunct/>
              <w:topLinePunct w:val="0"/>
              <w:autoSpaceDE/>
              <w:autoSpaceDN/>
              <w:bidi w:val="0"/>
              <w:adjustRightInd/>
              <w:snapToGrid/>
              <w:jc w:val="left"/>
              <w:textAlignment w:val="auto"/>
              <w:rPr>
                <w:rFonts w:hint="eastAsia" w:ascii="宋体" w:hAnsi="宋体" w:eastAsia="宋体" w:cs="宋体"/>
                <w:color w:val="auto"/>
                <w:sz w:val="21"/>
                <w:szCs w:val="21"/>
                <w:highlight w:val="none"/>
                <w:vertAlign w:val="baseline"/>
                <w:lang w:val="en-US" w:eastAsia="zh-CN"/>
              </w:rPr>
            </w:pPr>
            <w:r>
              <w:rPr>
                <w:rFonts w:hint="eastAsia"/>
                <w:color w:val="auto"/>
                <w:sz w:val="21"/>
                <w:szCs w:val="21"/>
                <w:highlight w:val="none"/>
                <w:lang w:val="en-US" w:eastAsia="zh-CN"/>
              </w:rPr>
              <w:t>说明:打“★”号条款为实质性条款，若有任何一条负偏离或不满足则导致投标（响应）无效。打“▲”号条款为重要技术参数（如有），若有部分“▲”条款未响应或不满足，将根据评审要求影响其得分，但不作为无效投标（响应）条款。带“△”号的为核心产品。</w:t>
            </w:r>
          </w:p>
        </w:tc>
      </w:tr>
    </w:tbl>
    <w:p>
      <w:pP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bidi w:val="0"/>
        <w:outlineLvl w:val="0"/>
        <w:rPr>
          <w:rFonts w:hint="eastAsia" w:ascii="宋体" w:hAnsi="宋体" w:eastAsia="宋体" w:cs="宋体"/>
          <w:color w:val="auto"/>
          <w:sz w:val="28"/>
          <w:szCs w:val="28"/>
          <w:highlight w:val="none"/>
        </w:rPr>
      </w:pPr>
      <w:bookmarkStart w:id="38" w:name="_Toc9900"/>
      <w:r>
        <w:rPr>
          <w:rFonts w:hint="eastAsia" w:ascii="宋体" w:hAnsi="宋体" w:eastAsia="宋体" w:cs="宋体"/>
          <w:color w:val="auto"/>
          <w:sz w:val="28"/>
          <w:szCs w:val="28"/>
          <w:highlight w:val="none"/>
        </w:rPr>
        <w:t>第三章供应商须知</w:t>
      </w:r>
      <w:bookmarkEnd w:id="38"/>
    </w:p>
    <w:p>
      <w:pPr>
        <w:spacing w:line="317" w:lineRule="auto"/>
        <w:rPr>
          <w:rFonts w:hint="eastAsia" w:ascii="宋体" w:hAnsi="宋体" w:eastAsia="宋体" w:cs="宋体"/>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请注意：供应商需在</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截止时间前，将</w:t>
      </w:r>
      <w:r>
        <w:rPr>
          <w:rFonts w:hint="eastAsia" w:ascii="宋体" w:hAnsi="宋体" w:eastAsia="宋体" w:cs="宋体"/>
          <w:color w:val="auto"/>
          <w:highlight w:val="none"/>
          <w:lang w:eastAsia="zh-CN"/>
        </w:rPr>
        <w:t>响应文件送达采购代理机构指定地点</w:t>
      </w:r>
      <w:r>
        <w:rPr>
          <w:rFonts w:hint="eastAsia" w:ascii="宋体" w:hAnsi="宋体" w:eastAsia="宋体" w:cs="宋体"/>
          <w:color w:val="auto"/>
          <w:highlight w:val="none"/>
        </w:rPr>
        <w:t>，逾期</w:t>
      </w:r>
      <w:r>
        <w:rPr>
          <w:rFonts w:hint="eastAsia" w:ascii="宋体" w:hAnsi="宋体" w:eastAsia="宋体" w:cs="宋体"/>
          <w:color w:val="auto"/>
          <w:highlight w:val="none"/>
          <w:lang w:eastAsia="zh-CN"/>
        </w:rPr>
        <w:t>送达</w:t>
      </w:r>
      <w:r>
        <w:rPr>
          <w:rFonts w:hint="eastAsia" w:ascii="宋体" w:hAnsi="宋体" w:eastAsia="宋体" w:cs="宋体"/>
          <w:color w:val="auto"/>
          <w:highlight w:val="none"/>
        </w:rPr>
        <w:t>或错误方式投递送达将导致投标无效。</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39" w:name="_Toc15567"/>
      <w:r>
        <w:rPr>
          <w:rFonts w:hint="eastAsia" w:ascii="宋体" w:hAnsi="宋体" w:eastAsia="宋体" w:cs="宋体"/>
          <w:color w:val="auto"/>
          <w:highlight w:val="none"/>
        </w:rPr>
        <w:t>一、名词解释</w:t>
      </w:r>
      <w:bookmarkEnd w:id="3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1.采购代理机构：本项目是指</w:t>
      </w:r>
      <w:r>
        <w:rPr>
          <w:rFonts w:hint="eastAsia" w:ascii="宋体" w:hAnsi="宋体" w:eastAsia="宋体" w:cs="宋体"/>
          <w:color w:val="auto"/>
          <w:highlight w:val="none"/>
          <w:lang w:eastAsia="zh-CN"/>
        </w:rPr>
        <w:t>东莞市金燕工程管理有限公司</w:t>
      </w:r>
      <w:r>
        <w:rPr>
          <w:rFonts w:hint="eastAsia" w:ascii="宋体" w:hAnsi="宋体" w:eastAsia="宋体" w:cs="宋体"/>
          <w:color w:val="auto"/>
          <w:highlight w:val="none"/>
        </w:rPr>
        <w:t>，负责整个采购活动的组织，依法负责编制和发布磋商文件，对磋商文件拥有最终的解释权，不以任何身份出任磋商小组成员。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2.采购人：本项目是指</w:t>
      </w:r>
      <w:r>
        <w:rPr>
          <w:rFonts w:hint="eastAsia" w:ascii="宋体" w:hAnsi="宋体" w:eastAsia="宋体" w:cs="宋体"/>
          <w:color w:val="auto"/>
          <w:highlight w:val="none"/>
          <w:lang w:eastAsia="zh-CN"/>
        </w:rPr>
        <w:t>东莞市寮步镇石龙坑股份经济联合社</w:t>
      </w:r>
      <w:r>
        <w:rPr>
          <w:rFonts w:hint="eastAsia" w:ascii="宋体" w:hAnsi="宋体" w:eastAsia="宋体" w:cs="宋体"/>
          <w:color w:val="auto"/>
          <w:highlight w:val="none"/>
        </w:rPr>
        <w:t>，是采购活动当事人之一，负责项目的整体规划、技术方案可行性设计论证与实施，作为合同采购方（用户）的主体承担质疑回复、履行合同、验收与评价等义务。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3.是指在</w:t>
      </w:r>
      <w:r>
        <w:rPr>
          <w:rFonts w:hint="eastAsia" w:ascii="宋体" w:hAnsi="宋体" w:eastAsia="宋体" w:cs="宋体"/>
          <w:color w:val="auto"/>
          <w:highlight w:val="none"/>
          <w:lang w:eastAsia="zh-CN"/>
        </w:rPr>
        <w:t>采购代理机构处</w:t>
      </w:r>
      <w:r>
        <w:rPr>
          <w:rFonts w:hint="eastAsia" w:ascii="宋体" w:hAnsi="宋体" w:eastAsia="宋体" w:cs="宋体"/>
          <w:color w:val="auto"/>
          <w:highlight w:val="none"/>
        </w:rPr>
        <w:t>完成本项目投标登记并提交</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4.“磋商小组”是指根据《中华人民共和国政府采购法》等法律法规规定，由采购人代表和有关专家组成以确定成交供应商或者推荐成交候选供应商的临时组织。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5.“成交供应商”是指经磋商小组评审确定的对磋商文件做出实质性响应，经采购人按照规定在磋商小组推荐的成交候选供应商中确定的或磋商小组受采购人委托直接确认的供应商。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6.磋商文件：是指包括磋商公告和磋商文件及其补充、变更和澄清等一系列文件。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7.电子响应文件：是指</w:t>
      </w:r>
      <w:r>
        <w:rPr>
          <w:rFonts w:hint="eastAsia" w:ascii="宋体" w:hAnsi="宋体" w:eastAsia="宋体" w:cs="宋体"/>
          <w:color w:val="auto"/>
          <w:highlight w:val="none"/>
          <w:lang w:eastAsia="zh-CN"/>
        </w:rPr>
        <w:t>投标文件的</w:t>
      </w:r>
      <w:r>
        <w:rPr>
          <w:rFonts w:hint="eastAsia" w:ascii="宋体" w:hAnsi="宋体" w:eastAsia="宋体" w:cs="宋体"/>
          <w:color w:val="auto"/>
          <w:highlight w:val="none"/>
          <w:lang w:val="en-US" w:eastAsia="zh-CN"/>
        </w:rPr>
        <w:t>word版、盖章后的PDF版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“全称” 、“公司全称” 、“加盖单位公章”及“公章”：在投标（响应）文件及相关的其他电子资料中，涉及“全称”或“公司全称”的应在对应文件编辑时使用文本录入方式并在纸质投标（响应）文件上进行盖章涉及“加盖单位公章”和“公章”应使用投标人单位的公章进行盖章</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.“投标人代表签字”及“授权代表”：在投标（响应）文件及相关的其他电子资料中，涉及“投标人代表签字”或“授权代表”应在投标（响应）文件编辑时在纸质投标（响应）文件上进行</w:t>
      </w:r>
      <w:r>
        <w:rPr>
          <w:rFonts w:hint="eastAsia" w:ascii="宋体" w:hAnsi="宋体" w:eastAsia="宋体" w:cs="宋体"/>
          <w:color w:val="auto"/>
          <w:highlight w:val="none"/>
          <w:lang w:eastAsia="zh-CN"/>
        </w:rPr>
        <w:t>签章或</w:t>
      </w:r>
      <w:r>
        <w:rPr>
          <w:rFonts w:hint="eastAsia" w:ascii="宋体" w:hAnsi="宋体" w:eastAsia="宋体" w:cs="宋体"/>
          <w:color w:val="auto"/>
          <w:highlight w:val="none"/>
        </w:rPr>
        <w:t>手写签名。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.“法定代表人”：在投标（响应）文件及相关的其他资料中，涉及“法定代表人”应在纸质投标（响应）文件上进行</w:t>
      </w:r>
      <w:r>
        <w:rPr>
          <w:rFonts w:hint="eastAsia" w:ascii="宋体" w:hAnsi="宋体" w:eastAsia="宋体" w:cs="宋体"/>
          <w:color w:val="auto"/>
          <w:highlight w:val="none"/>
          <w:lang w:eastAsia="zh-CN"/>
        </w:rPr>
        <w:t>签章或</w:t>
      </w:r>
      <w:r>
        <w:rPr>
          <w:rFonts w:hint="eastAsia" w:ascii="宋体" w:hAnsi="宋体" w:eastAsia="宋体" w:cs="宋体"/>
          <w:color w:val="auto"/>
          <w:highlight w:val="none"/>
        </w:rPr>
        <w:t>手写签名。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.日期、天数、时间：未有特别说明时，均为公历日（天）及北京时间。</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40" w:name="_Toc19024"/>
      <w:r>
        <w:rPr>
          <w:rFonts w:hint="eastAsia" w:ascii="宋体" w:hAnsi="宋体" w:eastAsia="宋体" w:cs="宋体"/>
          <w:color w:val="auto"/>
          <w:highlight w:val="none"/>
        </w:rPr>
        <w:t>二、须知前附表</w:t>
      </w:r>
      <w:bookmarkEnd w:id="40"/>
    </w:p>
    <w:p>
      <w:pPr>
        <w:spacing w:line="200" w:lineRule="exact"/>
        <w:rPr>
          <w:rFonts w:hint="eastAsia" w:ascii="宋体" w:hAnsi="宋体" w:eastAsia="宋体" w:cs="宋体"/>
          <w:color w:val="auto"/>
          <w:highlight w:val="none"/>
        </w:rPr>
      </w:pPr>
    </w:p>
    <w:tbl>
      <w:tblPr>
        <w:tblStyle w:val="24"/>
        <w:tblW w:w="9457"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37"/>
        <w:gridCol w:w="1571"/>
        <w:gridCol w:w="714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8" w:hRule="atLeast"/>
        </w:trPr>
        <w:tc>
          <w:tcPr>
            <w:tcW w:w="9457" w:type="dxa"/>
            <w:gridSpan w:val="3"/>
            <w:shd w:val="clear" w:color="auto" w:fill="F5F5F5"/>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本表与磋商文件对应章节的内容若不一致，以本表为准。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37" w:type="dxa"/>
            <w:shd w:val="clear" w:color="auto" w:fill="F5F5F5"/>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71" w:type="dxa"/>
            <w:shd w:val="clear" w:color="auto" w:fill="F5F5F5"/>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7149" w:type="dxa"/>
            <w:shd w:val="clear" w:color="auto" w:fill="F5F5F5"/>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采购包情况</w:t>
            </w:r>
          </w:p>
        </w:tc>
        <w:tc>
          <w:tcPr>
            <w:tcW w:w="7149" w:type="dxa"/>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本项目共1个采购包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开启方式</w:t>
            </w:r>
          </w:p>
        </w:tc>
        <w:tc>
          <w:tcPr>
            <w:tcW w:w="7149" w:type="dxa"/>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评审方式</w:t>
            </w:r>
          </w:p>
        </w:tc>
        <w:tc>
          <w:tcPr>
            <w:tcW w:w="7149" w:type="dxa"/>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p>
        </w:tc>
        <w:tc>
          <w:tcPr>
            <w:tcW w:w="7149" w:type="dxa"/>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报价形式</w:t>
            </w:r>
          </w:p>
        </w:tc>
        <w:tc>
          <w:tcPr>
            <w:tcW w:w="7149" w:type="dxa"/>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149" w:type="dxa"/>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各采购包报价不超过预算总价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7149" w:type="dxa"/>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响应有效期</w:t>
            </w:r>
          </w:p>
        </w:tc>
        <w:tc>
          <w:tcPr>
            <w:tcW w:w="7149" w:type="dxa"/>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从提交投标（响应）文件的截止之日起90日历天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p>
          <w:p>
            <w:pPr>
              <w:bidi w:val="0"/>
              <w:spacing w:line="360" w:lineRule="auto"/>
              <w:jc w:val="center"/>
              <w:rPr>
                <w:rFonts w:hint="eastAsia" w:ascii="宋体" w:hAnsi="宋体" w:eastAsia="宋体" w:cs="宋体"/>
                <w:color w:val="auto"/>
                <w:sz w:val="21"/>
                <w:szCs w:val="21"/>
                <w:highlight w:val="none"/>
              </w:rPr>
            </w:pPr>
          </w:p>
          <w:p>
            <w:pPr>
              <w:bidi w:val="0"/>
              <w:spacing w:line="360" w:lineRule="auto"/>
              <w:jc w:val="center"/>
              <w:rPr>
                <w:rFonts w:hint="eastAsia" w:ascii="宋体" w:hAnsi="宋体" w:eastAsia="宋体" w:cs="宋体"/>
                <w:color w:val="auto"/>
                <w:sz w:val="21"/>
                <w:szCs w:val="21"/>
                <w:highlight w:val="none"/>
              </w:rPr>
            </w:pPr>
          </w:p>
          <w:p>
            <w:pPr>
              <w:bidi w:val="0"/>
              <w:spacing w:line="360" w:lineRule="auto"/>
              <w:jc w:val="center"/>
              <w:rPr>
                <w:rFonts w:hint="eastAsia" w:ascii="宋体" w:hAnsi="宋体" w:eastAsia="宋体" w:cs="宋体"/>
                <w:color w:val="auto"/>
                <w:sz w:val="21"/>
                <w:szCs w:val="21"/>
                <w:highlight w:val="none"/>
              </w:rPr>
            </w:pPr>
          </w:p>
          <w:p>
            <w:pPr>
              <w:bidi w:val="0"/>
              <w:spacing w:line="360" w:lineRule="auto"/>
              <w:jc w:val="center"/>
              <w:rPr>
                <w:rFonts w:hint="eastAsia" w:ascii="宋体" w:hAnsi="宋体" w:eastAsia="宋体" w:cs="宋体"/>
                <w:color w:val="auto"/>
                <w:sz w:val="21"/>
                <w:szCs w:val="21"/>
                <w:highlight w:val="none"/>
              </w:rPr>
            </w:pPr>
          </w:p>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响应保证金</w:t>
            </w:r>
          </w:p>
        </w:tc>
        <w:tc>
          <w:tcPr>
            <w:tcW w:w="7149" w:type="dxa"/>
            <w:vAlign w:val="center"/>
          </w:tcPr>
          <w:p>
            <w:pPr>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采购包1：保证金人民币：0元整。</w:t>
            </w:r>
          </w:p>
          <w:p>
            <w:pPr>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开户单位：</w:t>
            </w:r>
            <w:r>
              <w:rPr>
                <w:rFonts w:hint="eastAsia" w:ascii="宋体" w:hAnsi="宋体" w:eastAsia="宋体" w:cs="宋体"/>
                <w:color w:val="auto"/>
                <w:sz w:val="21"/>
                <w:szCs w:val="21"/>
                <w:highlight w:val="none"/>
              </w:rPr>
              <w:t>无</w:t>
            </w:r>
          </w:p>
          <w:p>
            <w:pPr>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开户账号：</w:t>
            </w:r>
            <w:r>
              <w:rPr>
                <w:rFonts w:hint="eastAsia" w:ascii="宋体" w:hAnsi="宋体" w:eastAsia="宋体" w:cs="宋体"/>
                <w:color w:val="auto"/>
                <w:sz w:val="21"/>
                <w:szCs w:val="21"/>
                <w:highlight w:val="none"/>
              </w:rPr>
              <w:t>无</w:t>
            </w:r>
          </w:p>
          <w:p>
            <w:pPr>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w:t>
            </w:r>
            <w:r>
              <w:rPr>
                <w:rFonts w:hint="eastAsia" w:ascii="宋体" w:hAnsi="宋体" w:eastAsia="宋体" w:cs="宋体"/>
                <w:color w:val="auto"/>
                <w:sz w:val="21"/>
                <w:szCs w:val="21"/>
                <w:highlight w:val="none"/>
              </w:rPr>
              <w:t>无</w:t>
            </w:r>
          </w:p>
          <w:p>
            <w:pPr>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支票提交方式：无</w:t>
            </w:r>
          </w:p>
          <w:p>
            <w:pPr>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汇票、本票提交方式：无</w:t>
            </w:r>
          </w:p>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投标保证金有效期∶与投标有效期一致。</w:t>
            </w:r>
          </w:p>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投标保函提交方式：投标人可以以投标担保函、</w:t>
            </w:r>
            <w:r>
              <w:rPr>
                <w:rFonts w:hint="eastAsia" w:ascii="宋体" w:hAnsi="宋体" w:eastAsia="宋体" w:cs="宋体"/>
                <w:color w:val="auto"/>
                <w:sz w:val="21"/>
                <w:szCs w:val="21"/>
                <w:highlight w:val="none"/>
                <w:lang w:eastAsia="zh-CN"/>
              </w:rPr>
              <w:t>银行</w:t>
            </w:r>
            <w:r>
              <w:rPr>
                <w:rFonts w:hint="eastAsia" w:ascii="宋体" w:hAnsi="宋体" w:eastAsia="宋体" w:cs="宋体"/>
                <w:color w:val="auto"/>
                <w:sz w:val="21"/>
                <w:szCs w:val="21"/>
                <w:highlight w:val="none"/>
              </w:rPr>
              <w:t>保函、银行转账、电汇方式提交形式缴纳保证金，供应商可自主决定是否使用信用担保方式，并选择担保机构提供的任何一种信用担保品种，财政部门、采购代理机构、采购人不得进行干预。</w:t>
            </w:r>
          </w:p>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投标保证金作为投标人投标的组成部分,与投标文件资料一同递交，以到达</w:t>
            </w:r>
            <w:r>
              <w:rPr>
                <w:rFonts w:hint="eastAsia" w:eastAsia="宋体"/>
                <w:color w:val="auto"/>
                <w:highlight w:val="none"/>
                <w:lang w:val="en-US" w:eastAsia="zh-CN"/>
              </w:rPr>
              <w:t>采购代理机构</w:t>
            </w:r>
            <w:r>
              <w:rPr>
                <w:rFonts w:hint="eastAsia" w:ascii="宋体" w:hAnsi="宋体" w:eastAsia="宋体" w:cs="宋体"/>
                <w:color w:val="auto"/>
                <w:sz w:val="21"/>
                <w:szCs w:val="21"/>
                <w:highlight w:val="none"/>
              </w:rPr>
              <w:t>指定银行账户或接收到保函证明的时间为准。</w:t>
            </w:r>
          </w:p>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未按要求提交投标保证金的将导致废标。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成交候选供应商</w:t>
            </w:r>
          </w:p>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推荐家数</w:t>
            </w:r>
          </w:p>
        </w:tc>
        <w:tc>
          <w:tcPr>
            <w:tcW w:w="7149" w:type="dxa"/>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采购包1：3家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成交供应商家数</w:t>
            </w:r>
          </w:p>
        </w:tc>
        <w:tc>
          <w:tcPr>
            <w:tcW w:w="7149" w:type="dxa"/>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采购包1：1家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p>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p>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有效供应商家数</w:t>
            </w:r>
          </w:p>
        </w:tc>
        <w:tc>
          <w:tcPr>
            <w:tcW w:w="7149" w:type="dxa"/>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采购包1：3家</w:t>
            </w:r>
          </w:p>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此人数约定了开启与评审过程中的最低有效供应商家数，当家数不足时项目将不得开启、不得评审或直接终止采购。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项目兼投兼中规</w:t>
            </w:r>
          </w:p>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则</w:t>
            </w:r>
          </w:p>
        </w:tc>
        <w:tc>
          <w:tcPr>
            <w:tcW w:w="7149" w:type="dxa"/>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兼投兼中：本项目兼投兼中。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成交供应商确定</w:t>
            </w:r>
          </w:p>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w:t>
            </w:r>
          </w:p>
        </w:tc>
        <w:tc>
          <w:tcPr>
            <w:tcW w:w="7149" w:type="dxa"/>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采购人按照评审报告中推荐的成交候选人确定中标（成交）人。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p>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p>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w:t>
            </w:r>
          </w:p>
        </w:tc>
        <w:tc>
          <w:tcPr>
            <w:tcW w:w="7149" w:type="dxa"/>
            <w:vAlign w:val="center"/>
          </w:tcPr>
          <w:p>
            <w:pPr>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取。采购机构代理服务收费标准：中标服务费根据国家计委[计价格[2002]1980号]文和国家发改委[发改办价格[2003]857号]文及相关规定向中标单位收取，按差额定率累进法计算，以中标通知书中确定的中标总金额作为收费的计算依据；代理服务费不足6000元的按6000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代理服务费收取</w:t>
            </w:r>
          </w:p>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w:t>
            </w:r>
          </w:p>
        </w:tc>
        <w:tc>
          <w:tcPr>
            <w:tcW w:w="7149" w:type="dxa"/>
            <w:vAlign w:val="center"/>
          </w:tcPr>
          <w:p>
            <w:pPr>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中标成交供应商</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p>
          <w:p>
            <w:pPr>
              <w:bidi w:val="0"/>
              <w:spacing w:line="360" w:lineRule="auto"/>
              <w:jc w:val="center"/>
              <w:rPr>
                <w:rFonts w:hint="eastAsia" w:ascii="宋体" w:hAnsi="宋体" w:eastAsia="宋体" w:cs="宋体"/>
                <w:color w:val="auto"/>
                <w:sz w:val="21"/>
                <w:szCs w:val="21"/>
                <w:highlight w:val="none"/>
              </w:rPr>
            </w:pPr>
          </w:p>
          <w:p>
            <w:pPr>
              <w:bidi w:val="0"/>
              <w:spacing w:line="360" w:lineRule="auto"/>
              <w:jc w:val="center"/>
              <w:rPr>
                <w:rFonts w:hint="eastAsia" w:ascii="宋体" w:hAnsi="宋体" w:eastAsia="宋体" w:cs="宋体"/>
                <w:color w:val="auto"/>
                <w:sz w:val="21"/>
                <w:szCs w:val="21"/>
                <w:highlight w:val="none"/>
              </w:rPr>
            </w:pPr>
          </w:p>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响应文件要求</w:t>
            </w:r>
          </w:p>
        </w:tc>
        <w:tc>
          <w:tcPr>
            <w:tcW w:w="7149" w:type="dxa"/>
            <w:vAlign w:val="center"/>
          </w:tcPr>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val="en-US" w:eastAsia="zh-CN"/>
              </w:rPr>
              <w:t xml:space="preserve">word版   </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盖章后的PDF版）</w:t>
            </w:r>
            <w:r>
              <w:rPr>
                <w:rFonts w:hint="eastAsia" w:ascii="宋体" w:hAnsi="宋体" w:eastAsia="宋体" w:cs="宋体"/>
                <w:color w:val="auto"/>
                <w:sz w:val="21"/>
                <w:szCs w:val="21"/>
                <w:highlight w:val="none"/>
              </w:rPr>
              <w:t>1份。</w:t>
            </w:r>
          </w:p>
          <w:p>
            <w:pPr>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（2）纸质响应文件正本1份，纸质响应文件副本</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（正本、副本和</w:t>
            </w:r>
            <w:r>
              <w:rPr>
                <w:rFonts w:hint="eastAsia" w:ascii="宋体" w:hAnsi="宋体" w:eastAsia="宋体" w:cs="宋体"/>
                <w:color w:val="auto"/>
                <w:sz w:val="21"/>
                <w:szCs w:val="21"/>
                <w:highlight w:val="none"/>
              </w:rPr>
              <w:t>电子响应文件</w:t>
            </w:r>
            <w:r>
              <w:rPr>
                <w:rFonts w:hint="eastAsia" w:ascii="宋体" w:hAnsi="宋体" w:eastAsia="宋体" w:cs="宋体"/>
                <w:color w:val="auto"/>
                <w:szCs w:val="21"/>
                <w:highlight w:val="none"/>
              </w:rPr>
              <w:t>一起封装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封套标明项目名称、</w:t>
            </w:r>
            <w:r>
              <w:rPr>
                <w:rFonts w:hint="eastAsia" w:ascii="宋体" w:hAnsi="宋体" w:eastAsia="宋体" w:cs="宋体"/>
                <w:color w:val="auto"/>
                <w:sz w:val="21"/>
                <w:szCs w:val="21"/>
                <w:highlight w:val="none"/>
              </w:rPr>
              <w:t>采购项目编号</w:t>
            </w:r>
            <w:r>
              <w:rPr>
                <w:rFonts w:hint="eastAsia" w:ascii="宋体" w:hAnsi="宋体" w:eastAsia="宋体" w:cs="宋体"/>
                <w:color w:val="auto"/>
                <w:szCs w:val="21"/>
                <w:highlight w:val="none"/>
              </w:rPr>
              <w:t>、</w:t>
            </w:r>
            <w:r>
              <w:rPr>
                <w:rFonts w:hint="eastAsia" w:ascii="宋体" w:hAnsi="宋体" w:eastAsia="宋体" w:cs="宋体"/>
                <w:b w:val="0"/>
                <w:bCs w:val="0"/>
                <w:color w:val="auto"/>
                <w:szCs w:val="21"/>
                <w:highlight w:val="none"/>
              </w:rPr>
              <w:t>包组号</w:t>
            </w:r>
            <w:r>
              <w:rPr>
                <w:rFonts w:hint="eastAsia" w:ascii="宋体" w:hAnsi="宋体" w:eastAsia="宋体" w:cs="宋体"/>
                <w:b w:val="0"/>
                <w:bCs w:val="0"/>
                <w:color w:val="auto"/>
                <w:szCs w:val="21"/>
                <w:highlight w:val="none"/>
                <w:lang w:eastAsia="zh-CN"/>
              </w:rPr>
              <w:t>（如有）</w:t>
            </w:r>
            <w:r>
              <w:rPr>
                <w:rFonts w:hint="eastAsia" w:ascii="宋体" w:hAnsi="宋体" w:eastAsia="宋体" w:cs="宋体"/>
                <w:b w:val="0"/>
                <w:bCs w:val="0"/>
                <w:color w:val="auto"/>
                <w:szCs w:val="21"/>
                <w:highlight w:val="none"/>
              </w:rPr>
              <w:t>、</w:t>
            </w:r>
            <w:r>
              <w:rPr>
                <w:rFonts w:hint="eastAsia" w:ascii="宋体" w:hAnsi="宋体" w:eastAsia="宋体" w:cs="宋体"/>
                <w:color w:val="auto"/>
                <w:szCs w:val="21"/>
                <w:highlight w:val="none"/>
              </w:rPr>
              <w:t>磋商响应人名称及“</w:t>
            </w:r>
            <w:r>
              <w:rPr>
                <w:rFonts w:hint="eastAsia" w:ascii="宋体" w:hAnsi="宋体" w:eastAsia="宋体" w:cs="宋体"/>
                <w:color w:val="auto"/>
                <w:sz w:val="21"/>
                <w:szCs w:val="21"/>
                <w:highlight w:val="none"/>
              </w:rPr>
              <w:t>响应文件</w:t>
            </w:r>
            <w:r>
              <w:rPr>
                <w:rFonts w:hint="eastAsia" w:ascii="宋体" w:hAnsi="宋体" w:eastAsia="宋体" w:cs="宋体"/>
                <w:color w:val="auto"/>
                <w:szCs w:val="21"/>
                <w:highlight w:val="none"/>
              </w:rPr>
              <w:t>”等字样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格式详见第</w:t>
            </w: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章</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737"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571" w:type="dxa"/>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7149" w:type="dxa"/>
            <w:vAlign w:val="center"/>
          </w:tcPr>
          <w:p>
            <w:pPr>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41" w:name="_Toc2950"/>
      <w:r>
        <w:rPr>
          <w:rFonts w:hint="eastAsia" w:ascii="宋体" w:hAnsi="宋体" w:eastAsia="宋体" w:cs="宋体"/>
          <w:color w:val="auto"/>
          <w:highlight w:val="none"/>
        </w:rPr>
        <w:t>三、说明</w:t>
      </w:r>
      <w:bookmarkEnd w:id="4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42" w:name="_Toc15975"/>
      <w:r>
        <w:rPr>
          <w:rFonts w:hint="eastAsia" w:ascii="宋体" w:hAnsi="宋体" w:eastAsia="宋体" w:cs="宋体"/>
          <w:color w:val="auto"/>
          <w:highlight w:val="none"/>
        </w:rPr>
        <w:t>1.总则</w:t>
      </w:r>
      <w:bookmarkEnd w:id="42"/>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供应商应仔细阅读本项目信息公告及磋商文件的所有内容（包括变更、补充、澄清以及修改等，且均为磋商文件的组成部分），按照磋商文件要求以及格式编制响应文件，并保证其真实性，否则一切后果自负。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本次竞争性磋商项目，是以磋商公告的方式邀请非特定的供应商参加磋商。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43" w:name="_Toc26407"/>
      <w:r>
        <w:rPr>
          <w:rFonts w:hint="eastAsia" w:ascii="宋体" w:hAnsi="宋体" w:eastAsia="宋体" w:cs="宋体"/>
          <w:color w:val="auto"/>
          <w:highlight w:val="none"/>
        </w:rPr>
        <w:t>2.适用范围</w:t>
      </w:r>
      <w:bookmarkEnd w:id="4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本磋商文件仅适用于本次磋商公告中所涉及的项目和内容。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44" w:name="_Toc31216"/>
      <w:r>
        <w:rPr>
          <w:rFonts w:hint="eastAsia" w:ascii="宋体" w:hAnsi="宋体" w:eastAsia="宋体" w:cs="宋体"/>
          <w:color w:val="auto"/>
          <w:highlight w:val="none"/>
        </w:rPr>
        <w:t>3.进口产品</w:t>
      </w:r>
      <w:bookmarkEnd w:id="4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若本项目允许采购进口产品，供应商应保证所投产品可履行合法报通关手续进入中国关境内。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若本项目不允许采购进口产品，如供应商所投产品为进口产品，其响应将被认定为响应无效。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45" w:name="_Toc26346"/>
      <w:r>
        <w:rPr>
          <w:rFonts w:hint="eastAsia" w:ascii="宋体" w:hAnsi="宋体" w:eastAsia="宋体" w:cs="宋体"/>
          <w:color w:val="auto"/>
          <w:highlight w:val="none"/>
        </w:rPr>
        <w:t>4.磋商费用</w:t>
      </w:r>
      <w:bookmarkEnd w:id="4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不论磋商结果如何，供应商应承担所有与准备和参加磋商有关的费用。采购代理机构和采购人均无义务和责任承担相关费用。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46" w:name="_Toc2728"/>
      <w:r>
        <w:rPr>
          <w:rFonts w:hint="eastAsia" w:ascii="宋体" w:hAnsi="宋体" w:eastAsia="宋体" w:cs="宋体"/>
          <w:color w:val="auto"/>
          <w:highlight w:val="none"/>
        </w:rPr>
        <w:t>5.以联合体形式磋商的，应符合以下规定：</w:t>
      </w:r>
      <w:bookmarkEnd w:id="46"/>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5.1联合体各方均应当满足《政府采购法》第二十二条规定的条件，并在响应文件中提供联合体各方的相关证明材料。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5.3联合体应以联合协议中确定的牵头方名义进行项目投标。对于需交投标保证金的，以牵头方名义缴纳。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5.4联合体成员存在不良信用记录的，视同联合体存在不良信用记录。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5.5联合体各方均应满足磋商文件规定的资格要求。由同一资质条件的供应商组成的联合体，应当按照资质等级较低的供应商确定联合体资质等级。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5.6联合体各方应当共同与采购人签订采购合同，就合同约定的事项对采购人承担连带责任。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5.7联合体各方均为小型、微型企业的，各方均应提供《中小微企业声明函》；中小微企业作为联合体一方参与政府采购活动，且联合体协议书中约定，小型、微型企业的协议合同金额占到联合体协议合同总金额30%以上的，应附中小微企业的《中小微企业声明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47" w:name="_Toc3933"/>
      <w:r>
        <w:rPr>
          <w:rFonts w:hint="eastAsia" w:ascii="宋体" w:hAnsi="宋体" w:eastAsia="宋体" w:cs="宋体"/>
          <w:color w:val="auto"/>
          <w:highlight w:val="none"/>
        </w:rPr>
        <w:t>6.关联企业响应说明</w:t>
      </w:r>
      <w:bookmarkEnd w:id="4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48" w:name="_Toc24994"/>
      <w:r>
        <w:rPr>
          <w:rFonts w:hint="eastAsia" w:ascii="宋体" w:hAnsi="宋体" w:eastAsia="宋体" w:cs="宋体"/>
          <w:color w:val="auto"/>
          <w:highlight w:val="none"/>
        </w:rPr>
        <w:t>7.关于中小微企业响应</w:t>
      </w:r>
      <w:bookmarkEnd w:id="48"/>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根据财库〔2014〕68号《财政部司法部关于政府采购支持监狱企业发展有关问题的通知》，监狱企业视同小微企业。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微企业声明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根据财库〔2017〕141号《财政部民政部中国残疾人联合会关于促进残疾人就业政府采购政策的通知》，在政府采购活动中，残疾人福利性单位视同小型、微型企业，享受政府采购支持政策的残疾人福利性单位应当同时满足《财政部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49" w:name="_Toc30995"/>
      <w:r>
        <w:rPr>
          <w:rFonts w:hint="eastAsia" w:ascii="宋体" w:hAnsi="宋体" w:eastAsia="宋体" w:cs="宋体"/>
          <w:color w:val="auto"/>
          <w:highlight w:val="none"/>
        </w:rPr>
        <w:t>8.纪律与保密事项</w:t>
      </w:r>
      <w:bookmarkEnd w:id="4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8.1供应商不得相互串通磋商报价，不得妨碍其他供应商的公平竞争，不得损害采购人或其他供应商的合法权益，供应商不得以向采购人、磋商小组成员行贿或者采取其他不正当手段谋取成交。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8.2供应商不得与采购人就响应价格、响应方案等实质性内容进行磋商，也不得私下接触磋商小组成员。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8.3在确定成交供应商之前，供应商试图在响应文件审查、澄清、比较和评价时对磋商小组、采购人和采购代理机构施加任何影响都可能导致其响应无效。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8.4获得本磋商文件者，须履行本磋商项目下保密义务，不得将因本次磋商获得的信息向第三人外传，不得将磋商文件用作本次响应以外的任何用途。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8.6采购人或采购代理机构有权将供应商提供的所有资料向有关政府部门或询价小组披露。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50" w:name="_Toc14767"/>
      <w:r>
        <w:rPr>
          <w:rFonts w:hint="eastAsia" w:ascii="宋体" w:hAnsi="宋体" w:eastAsia="宋体" w:cs="宋体"/>
          <w:color w:val="auto"/>
          <w:highlight w:val="none"/>
        </w:rPr>
        <w:t>9.语言文字以及度量衡单位</w:t>
      </w:r>
      <w:bookmarkEnd w:id="5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9.2除非磋商文件的技术规格中另有规定，供应商在响应文件中及其与采购人和采购代理机构的所有往来文件中的计量单位均应采用中华人民共和国法定计量单位。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9.3供应商所提供的货物和服务均应以人民币报价，货币单位：元。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51" w:name="_Toc3584"/>
      <w:r>
        <w:rPr>
          <w:rFonts w:hint="eastAsia" w:ascii="宋体" w:hAnsi="宋体" w:eastAsia="宋体" w:cs="宋体"/>
          <w:color w:val="auto"/>
          <w:highlight w:val="none"/>
        </w:rPr>
        <w:t>10.现场踏勘（如有）</w:t>
      </w:r>
      <w:bookmarkEnd w:id="5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10.1磋商文件规定组织踏勘现场的，采购人按磋商文件规定的时间、地点组织供应商踏勘项目现场。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10.2供应商自行承担踏勘现场发生的责任、风险和自身费用。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10.3采购人在踏勘现场中介绍的资料和数据等，不构成对磋商文件的修改或不作为供应商编制响应文件的依据。</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52" w:name="_Toc3531"/>
      <w:r>
        <w:rPr>
          <w:rFonts w:hint="eastAsia" w:ascii="宋体" w:hAnsi="宋体" w:eastAsia="宋体" w:cs="宋体"/>
          <w:color w:val="auto"/>
          <w:highlight w:val="none"/>
        </w:rPr>
        <w:t>四、磋商文件的澄清和修改</w:t>
      </w:r>
      <w:bookmarkEnd w:id="52"/>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3.如更正公告有重新发布</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的，供应商应</w:t>
      </w:r>
      <w:r>
        <w:rPr>
          <w:rFonts w:hint="eastAsia" w:ascii="宋体" w:hAnsi="宋体" w:eastAsia="宋体" w:cs="宋体"/>
          <w:color w:val="auto"/>
          <w:highlight w:val="none"/>
          <w:lang w:eastAsia="zh-CN"/>
        </w:rPr>
        <w:t>用</w:t>
      </w:r>
      <w:r>
        <w:rPr>
          <w:rFonts w:hint="eastAsia" w:ascii="宋体" w:hAnsi="宋体" w:eastAsia="宋体" w:cs="宋体"/>
          <w:color w:val="auto"/>
          <w:highlight w:val="none"/>
        </w:rPr>
        <w:t>最新发布的</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制作</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4.供应商在规定的时间内未对磋商文件提出疑问、质疑或要求澄清的，将视其为无异议。对磋商文件中描述有歧义或前后不一致的地方，磋商小组有权进行评判，但对同一条款的评判应适用于每个供应商。</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53" w:name="_Toc6817"/>
      <w:r>
        <w:rPr>
          <w:rFonts w:hint="eastAsia" w:ascii="宋体" w:hAnsi="宋体" w:eastAsia="宋体" w:cs="宋体"/>
          <w:color w:val="auto"/>
          <w:highlight w:val="none"/>
        </w:rPr>
        <w:t>五、响应要求</w:t>
      </w:r>
      <w:bookmarkEnd w:id="5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54" w:name="_Toc2092"/>
      <w:r>
        <w:rPr>
          <w:rFonts w:hint="eastAsia" w:ascii="宋体" w:hAnsi="宋体" w:eastAsia="宋体" w:cs="宋体"/>
          <w:color w:val="auto"/>
          <w:highlight w:val="none"/>
        </w:rPr>
        <w:t>1.响应登记</w:t>
      </w:r>
      <w:bookmarkEnd w:id="5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详见投标邀请</w:t>
      </w:r>
      <w:r>
        <w:rPr>
          <w:rFonts w:hint="eastAsia" w:ascii="宋体" w:hAnsi="宋体" w:eastAsia="宋体" w:cs="宋体"/>
          <w:color w:val="auto"/>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55" w:name="_Toc6484"/>
      <w:r>
        <w:rPr>
          <w:rFonts w:hint="eastAsia" w:ascii="宋体" w:hAnsi="宋体" w:eastAsia="宋体" w:cs="宋体"/>
          <w:color w:val="auto"/>
          <w:highlight w:val="none"/>
        </w:rPr>
        <w:t>2.响应文件的制作</w:t>
      </w:r>
      <w:bookmarkEnd w:id="5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2.1响应文件中，其格式要求详见第六章说明。如因不按要求编制，其后果由投标人承担。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2.2关于磋商报价说明如下：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（1）供应商应按照“第二章采购需求”的需求内容、责任范围以及合同条款进行报价。并按“首轮报价表”规定的格式报出总价。磋商总价中不得包含磋商文件要求以外的内容，否则，在评审时不予核减。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（2）磋商报价包括本项目采购需求和投入使用的所有费用，包括但不限于主件、标准附件、备品备件、施工、服务、专用工具、安装、调试、检验、培训、运输、保险、税款等。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（3）磋商报价不得有选择性报价和附有条件的报价，否则将导致响应无效。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2.3如有对多个采购包响应的，要对每个采购包独立制作响应文件。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2.4供应商不得将同一个项目或同一个采购包的内容拆开响应，否则其报价将被视为非实质性响应。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2.5供应商须对磋商文件的对应要求给予唯一的实质性响应，否则将视为不响应。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2.6磋商文件中，凡标有“★”的地方均为实质性响应条款，供应商若有一项带“★”的条款未响应或不满足，将按无效响应处理。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2.7供应商必须按磋商文件指定的格式填写各种报价，各报价应计算正确。除在磋商文件另有规定外（如：报折扣、报优惠率等），计量单位应使用中华人民共和国法定计量单位，以人民币填报所有报价。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56" w:name="_Toc22192"/>
      <w:r>
        <w:rPr>
          <w:rFonts w:hint="eastAsia" w:ascii="宋体" w:hAnsi="宋体" w:eastAsia="宋体" w:cs="宋体"/>
          <w:color w:val="auto"/>
          <w:highlight w:val="none"/>
        </w:rPr>
        <w:t>3.响应文件的提交</w:t>
      </w:r>
      <w:bookmarkEnd w:id="56"/>
    </w:p>
    <w:p>
      <w:pPr>
        <w:keepNext w:val="0"/>
        <w:keepLines w:val="0"/>
        <w:pageBreakBefore w:val="0"/>
        <w:widowControl/>
        <w:numPr>
          <w:ilvl w:val="0"/>
          <w:numId w:val="0"/>
        </w:numPr>
        <w:tabs>
          <w:tab w:val="left" w:pos="420"/>
        </w:tabs>
        <w:kinsoku w:val="0"/>
        <w:wordWrap/>
        <w:overflowPunct/>
        <w:topLinePunct w:val="0"/>
        <w:autoSpaceDE w:val="0"/>
        <w:autoSpaceDN w:val="0"/>
        <w:bidi w:val="0"/>
        <w:adjustRightInd w:val="0"/>
        <w:snapToGrid w:val="0"/>
        <w:spacing w:line="360" w:lineRule="auto"/>
        <w:ind w:leftChars="200"/>
        <w:textAlignment w:val="baseline"/>
        <w:outlineLvl w:val="3"/>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spacing w:val="1"/>
          <w:sz w:val="21"/>
          <w:szCs w:val="21"/>
          <w:highlight w:val="none"/>
          <w:lang w:eastAsia="zh-CN"/>
        </w:rPr>
        <w:t>响应文件的密封和标记：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响应人应按须知前附表第</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项准备响应文件正本，副本和不作任何加密的电子标书（光刻盘或U盘，封面注明响应人名称、项目名称、项目编号），电子标书的文件格式要求用简体中文版。在每一份响应文件上要明确注明“正本”或“副本”字样。一旦正本和副本内容有差异，以正本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（2）响应人应按响应须知前附表第11项密封和标记所有的响应文件，在每一封口处加盖公章，并在封套上标明：</w:t>
      </w:r>
    </w:p>
    <w:p>
      <w:pPr>
        <w:keepNext w:val="0"/>
        <w:keepLines w:val="0"/>
        <w:pageBreakBefore w:val="0"/>
        <w:widowControl/>
        <w:tabs>
          <w:tab w:val="left" w:pos="720"/>
        </w:tabs>
        <w:kinsoku w:val="0"/>
        <w:wordWrap/>
        <w:overflowPunct/>
        <w:topLinePunct w:val="0"/>
        <w:autoSpaceDE w:val="0"/>
        <w:autoSpaceDN w:val="0"/>
        <w:bidi w:val="0"/>
        <w:adjustRightInd w:val="0"/>
        <w:snapToGrid w:val="0"/>
        <w:spacing w:line="360" w:lineRule="auto"/>
        <w:ind w:left="210" w:leftChars="100" w:firstLine="707" w:firstLineChars="33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人名称：</w:t>
      </w:r>
    </w:p>
    <w:p>
      <w:pPr>
        <w:keepNext w:val="0"/>
        <w:keepLines w:val="0"/>
        <w:pageBreakBefore w:val="0"/>
        <w:widowControl/>
        <w:tabs>
          <w:tab w:val="left" w:pos="720"/>
        </w:tabs>
        <w:kinsoku w:val="0"/>
        <w:wordWrap/>
        <w:overflowPunct/>
        <w:topLinePunct w:val="0"/>
        <w:autoSpaceDE w:val="0"/>
        <w:autoSpaceDN w:val="0"/>
        <w:bidi w:val="0"/>
        <w:adjustRightInd w:val="0"/>
        <w:snapToGrid w:val="0"/>
        <w:spacing w:line="360" w:lineRule="auto"/>
        <w:ind w:left="210" w:leftChars="100" w:firstLine="707" w:firstLineChars="33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人地址：</w:t>
      </w:r>
    </w:p>
    <w:p>
      <w:pPr>
        <w:keepNext w:val="0"/>
        <w:keepLines w:val="0"/>
        <w:pageBreakBefore w:val="0"/>
        <w:widowControl/>
        <w:tabs>
          <w:tab w:val="left" w:pos="720"/>
        </w:tabs>
        <w:kinsoku w:val="0"/>
        <w:wordWrap/>
        <w:overflowPunct/>
        <w:topLinePunct w:val="0"/>
        <w:autoSpaceDE w:val="0"/>
        <w:autoSpaceDN w:val="0"/>
        <w:bidi w:val="0"/>
        <w:adjustRightInd w:val="0"/>
        <w:snapToGrid w:val="0"/>
        <w:spacing w:line="360" w:lineRule="auto"/>
        <w:ind w:left="210" w:leftChars="100" w:firstLine="707" w:firstLineChars="33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widowControl/>
        <w:tabs>
          <w:tab w:val="left" w:pos="720"/>
        </w:tabs>
        <w:kinsoku w:val="0"/>
        <w:wordWrap/>
        <w:overflowPunct/>
        <w:topLinePunct w:val="0"/>
        <w:autoSpaceDE w:val="0"/>
        <w:autoSpaceDN w:val="0"/>
        <w:bidi w:val="0"/>
        <w:adjustRightInd w:val="0"/>
        <w:snapToGrid w:val="0"/>
        <w:spacing w:line="360" w:lineRule="auto"/>
        <w:ind w:left="210" w:leftChars="100" w:firstLine="707" w:firstLineChars="33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keepNext w:val="0"/>
        <w:keepLines w:val="0"/>
        <w:pageBreakBefore w:val="0"/>
        <w:widowControl/>
        <w:tabs>
          <w:tab w:val="left" w:pos="720"/>
        </w:tabs>
        <w:kinsoku w:val="0"/>
        <w:wordWrap/>
        <w:overflowPunct/>
        <w:topLinePunct w:val="0"/>
        <w:autoSpaceDE w:val="0"/>
        <w:autoSpaceDN w:val="0"/>
        <w:bidi w:val="0"/>
        <w:adjustRightInd w:val="0"/>
        <w:snapToGrid w:val="0"/>
        <w:spacing w:line="360" w:lineRule="auto"/>
        <w:ind w:left="210" w:leftChars="100" w:firstLine="707" w:firstLineChars="33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包组号：（无分包项目可不填）</w:t>
      </w:r>
    </w:p>
    <w:p>
      <w:pPr>
        <w:keepNext w:val="0"/>
        <w:keepLines w:val="0"/>
        <w:pageBreakBefore w:val="0"/>
        <w:widowControl/>
        <w:tabs>
          <w:tab w:val="left" w:pos="720"/>
        </w:tabs>
        <w:kinsoku w:val="0"/>
        <w:wordWrap/>
        <w:overflowPunct/>
        <w:topLinePunct w:val="0"/>
        <w:autoSpaceDE w:val="0"/>
        <w:autoSpaceDN w:val="0"/>
        <w:bidi w:val="0"/>
        <w:adjustRightInd w:val="0"/>
        <w:snapToGrid w:val="0"/>
        <w:spacing w:line="360" w:lineRule="auto"/>
        <w:ind w:left="210" w:leftChars="100" w:firstLine="707" w:firstLineChars="337"/>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收件人名称：</w:t>
      </w:r>
      <w:r>
        <w:rPr>
          <w:rFonts w:hint="eastAsia" w:ascii="宋体" w:hAnsi="宋体" w:eastAsia="宋体" w:cs="宋体"/>
          <w:color w:val="auto"/>
          <w:sz w:val="21"/>
          <w:szCs w:val="21"/>
          <w:highlight w:val="none"/>
          <w:lang w:eastAsia="zh-CN"/>
        </w:rPr>
        <w:t>东莞市金燕工程管理有限公司</w:t>
      </w:r>
    </w:p>
    <w:p>
      <w:pPr>
        <w:keepNext w:val="0"/>
        <w:keepLines w:val="0"/>
        <w:pageBreakBefore w:val="0"/>
        <w:widowControl/>
        <w:tabs>
          <w:tab w:val="left" w:pos="720"/>
        </w:tabs>
        <w:kinsoku w:val="0"/>
        <w:wordWrap/>
        <w:overflowPunct/>
        <w:topLinePunct w:val="0"/>
        <w:autoSpaceDE w:val="0"/>
        <w:autoSpaceDN w:val="0"/>
        <w:bidi w:val="0"/>
        <w:adjustRightInd w:val="0"/>
        <w:snapToGrid w:val="0"/>
        <w:spacing w:line="360" w:lineRule="auto"/>
        <w:ind w:left="210" w:leftChars="100" w:firstLine="707" w:firstLineChars="33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响应</w:t>
      </w:r>
      <w:r>
        <w:rPr>
          <w:rFonts w:hint="eastAsia" w:ascii="宋体" w:hAnsi="宋体" w:eastAsia="宋体" w:cs="宋体"/>
          <w:color w:val="auto"/>
          <w:sz w:val="21"/>
          <w:szCs w:val="21"/>
          <w:highlight w:val="none"/>
          <w:u w:val="single"/>
        </w:rPr>
        <w:t>截止时间）      之</w:t>
      </w:r>
      <w:r>
        <w:rPr>
          <w:rFonts w:hint="eastAsia" w:ascii="宋体" w:hAnsi="宋体" w:eastAsia="宋体" w:cs="宋体"/>
          <w:color w:val="auto"/>
          <w:sz w:val="21"/>
          <w:szCs w:val="21"/>
          <w:highlight w:val="none"/>
        </w:rPr>
        <w:t>前不得启封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zh-CN" w:eastAsia="zh-CN"/>
        </w:rPr>
        <w:t>（</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lang w:val="zh-CN" w:eastAsia="zh-CN"/>
        </w:rPr>
        <w:t>如因密封不严导致响应文件非人为因素过早启封的，采购代理机构概不负责，并将该文件退还给响应人。</w:t>
      </w:r>
    </w:p>
    <w:p>
      <w:pPr>
        <w:keepNext w:val="0"/>
        <w:keepLines w:val="0"/>
        <w:pageBreakBefore w:val="0"/>
        <w:widowControl/>
        <w:numPr>
          <w:ilvl w:val="0"/>
          <w:numId w:val="0"/>
        </w:numPr>
        <w:tabs>
          <w:tab w:val="left" w:pos="420"/>
        </w:tabs>
        <w:kinsoku w:val="0"/>
        <w:wordWrap/>
        <w:overflowPunct/>
        <w:topLinePunct w:val="0"/>
        <w:autoSpaceDE w:val="0"/>
        <w:autoSpaceDN w:val="0"/>
        <w:bidi w:val="0"/>
        <w:adjustRightInd w:val="0"/>
        <w:snapToGrid w:val="0"/>
        <w:spacing w:line="360" w:lineRule="auto"/>
        <w:ind w:leftChars="200"/>
        <w:textAlignment w:val="baseline"/>
        <w:outlineLvl w:val="3"/>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pacing w:val="1"/>
          <w:sz w:val="21"/>
          <w:szCs w:val="21"/>
          <w:highlight w:val="none"/>
        </w:rPr>
        <w:t>在</w:t>
      </w:r>
      <w:r>
        <w:rPr>
          <w:rFonts w:hint="eastAsia" w:ascii="宋体" w:hAnsi="宋体" w:eastAsia="宋体" w:cs="宋体"/>
          <w:color w:val="auto"/>
          <w:spacing w:val="1"/>
          <w:sz w:val="21"/>
          <w:szCs w:val="21"/>
          <w:highlight w:val="none"/>
          <w:lang w:eastAsia="zh-CN"/>
        </w:rPr>
        <w:t>响应</w:t>
      </w:r>
      <w:r>
        <w:rPr>
          <w:rFonts w:hint="eastAsia" w:ascii="宋体" w:hAnsi="宋体" w:eastAsia="宋体" w:cs="宋体"/>
          <w:color w:val="auto"/>
          <w:spacing w:val="1"/>
          <w:sz w:val="21"/>
          <w:szCs w:val="21"/>
          <w:highlight w:val="none"/>
        </w:rPr>
        <w:t>文件提交截止时间前，</w:t>
      </w:r>
      <w:r>
        <w:rPr>
          <w:rFonts w:hint="eastAsia" w:ascii="宋体" w:hAnsi="宋体" w:eastAsia="宋体" w:cs="宋体"/>
          <w:color w:val="auto"/>
          <w:spacing w:val="1"/>
          <w:sz w:val="21"/>
          <w:szCs w:val="21"/>
          <w:highlight w:val="none"/>
          <w:lang w:eastAsia="zh-CN"/>
        </w:rPr>
        <w:t>响应</w:t>
      </w:r>
      <w:r>
        <w:rPr>
          <w:rFonts w:hint="eastAsia" w:ascii="宋体" w:hAnsi="宋体" w:eastAsia="宋体" w:cs="宋体"/>
          <w:color w:val="auto"/>
          <w:spacing w:val="1"/>
          <w:sz w:val="21"/>
          <w:szCs w:val="21"/>
          <w:highlight w:val="none"/>
        </w:rPr>
        <w:t>人须将</w:t>
      </w:r>
      <w:r>
        <w:rPr>
          <w:rFonts w:hint="eastAsia" w:ascii="宋体" w:hAnsi="宋体" w:eastAsia="宋体" w:cs="宋体"/>
          <w:color w:val="auto"/>
          <w:spacing w:val="1"/>
          <w:sz w:val="21"/>
          <w:szCs w:val="21"/>
          <w:highlight w:val="none"/>
          <w:lang w:eastAsia="zh-CN"/>
        </w:rPr>
        <w:t>响应</w:t>
      </w:r>
      <w:r>
        <w:rPr>
          <w:rFonts w:hint="eastAsia" w:ascii="宋体" w:hAnsi="宋体" w:eastAsia="宋体" w:cs="宋体"/>
          <w:color w:val="auto"/>
          <w:spacing w:val="1"/>
          <w:sz w:val="21"/>
          <w:szCs w:val="21"/>
          <w:highlight w:val="none"/>
        </w:rPr>
        <w:t>文件</w:t>
      </w:r>
      <w:r>
        <w:rPr>
          <w:rFonts w:hint="eastAsia" w:ascii="宋体" w:hAnsi="宋体" w:eastAsia="宋体" w:cs="宋体"/>
          <w:color w:val="auto"/>
          <w:spacing w:val="1"/>
          <w:sz w:val="21"/>
          <w:szCs w:val="21"/>
          <w:highlight w:val="none"/>
          <w:lang w:eastAsia="zh-CN"/>
        </w:rPr>
        <w:t>送到采购代理机构处</w:t>
      </w:r>
      <w:r>
        <w:rPr>
          <w:rFonts w:hint="eastAsia" w:ascii="宋体" w:hAnsi="宋体" w:eastAsia="宋体" w:cs="宋体"/>
          <w:color w:val="auto"/>
          <w:spacing w:val="1"/>
          <w:sz w:val="21"/>
          <w:szCs w:val="21"/>
          <w:highlight w:val="none"/>
        </w:rPr>
        <w:t>。时间以北京时间为准，</w:t>
      </w:r>
      <w:r>
        <w:rPr>
          <w:rFonts w:hint="eastAsia" w:ascii="宋体" w:hAnsi="宋体" w:eastAsia="宋体" w:cs="宋体"/>
          <w:color w:val="auto"/>
          <w:spacing w:val="1"/>
          <w:sz w:val="21"/>
          <w:szCs w:val="21"/>
          <w:highlight w:val="none"/>
          <w:lang w:eastAsia="zh-CN"/>
        </w:rPr>
        <w:t>响应</w:t>
      </w:r>
      <w:r>
        <w:rPr>
          <w:rFonts w:hint="eastAsia" w:ascii="宋体" w:hAnsi="宋体" w:eastAsia="宋体" w:cs="宋体"/>
          <w:color w:val="auto"/>
          <w:spacing w:val="1"/>
          <w:sz w:val="21"/>
          <w:szCs w:val="21"/>
          <w:highlight w:val="none"/>
        </w:rPr>
        <w:t>截止时间结束后，</w:t>
      </w:r>
      <w:r>
        <w:rPr>
          <w:rFonts w:hint="eastAsia" w:ascii="宋体" w:hAnsi="宋体" w:eastAsia="宋体" w:cs="宋体"/>
          <w:color w:val="auto"/>
          <w:spacing w:val="1"/>
          <w:sz w:val="21"/>
          <w:szCs w:val="21"/>
          <w:highlight w:val="none"/>
          <w:lang w:eastAsia="zh-CN"/>
        </w:rPr>
        <w:t>采购代理机构将不再接受任何资料</w:t>
      </w:r>
      <w:r>
        <w:rPr>
          <w:rFonts w:hint="eastAsia" w:ascii="宋体" w:hAnsi="宋体" w:eastAsia="宋体" w:cs="宋体"/>
          <w:color w:val="auto"/>
          <w:spacing w:val="1"/>
          <w:sz w:val="21"/>
          <w:szCs w:val="21"/>
          <w:highlight w:val="none"/>
        </w:rPr>
        <w:t>。</w:t>
      </w:r>
    </w:p>
    <w:p>
      <w:pPr>
        <w:keepNext w:val="0"/>
        <w:keepLines w:val="0"/>
        <w:pageBreakBefore w:val="0"/>
        <w:widowControl/>
        <w:numPr>
          <w:ilvl w:val="0"/>
          <w:numId w:val="0"/>
        </w:numPr>
        <w:tabs>
          <w:tab w:val="left" w:pos="420"/>
        </w:tabs>
        <w:kinsoku w:val="0"/>
        <w:wordWrap/>
        <w:overflowPunct/>
        <w:topLinePunct w:val="0"/>
        <w:autoSpaceDE w:val="0"/>
        <w:autoSpaceDN w:val="0"/>
        <w:bidi w:val="0"/>
        <w:adjustRightInd w:val="0"/>
        <w:snapToGrid w:val="0"/>
        <w:spacing w:line="360" w:lineRule="auto"/>
        <w:ind w:leftChars="200"/>
        <w:textAlignment w:val="baseline"/>
        <w:outlineLvl w:val="3"/>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pacing w:val="1"/>
          <w:sz w:val="21"/>
          <w:szCs w:val="21"/>
          <w:highlight w:val="none"/>
        </w:rPr>
        <w:t>代理机构对因不可抗力事件造成的</w:t>
      </w:r>
      <w:r>
        <w:rPr>
          <w:rFonts w:hint="eastAsia" w:ascii="宋体" w:hAnsi="宋体" w:eastAsia="宋体" w:cs="宋体"/>
          <w:color w:val="auto"/>
          <w:spacing w:val="1"/>
          <w:sz w:val="21"/>
          <w:szCs w:val="21"/>
          <w:highlight w:val="none"/>
          <w:lang w:eastAsia="zh-CN"/>
        </w:rPr>
        <w:t>响应</w:t>
      </w:r>
      <w:r>
        <w:rPr>
          <w:rFonts w:hint="eastAsia" w:ascii="宋体" w:hAnsi="宋体" w:eastAsia="宋体" w:cs="宋体"/>
          <w:color w:val="auto"/>
          <w:spacing w:val="1"/>
          <w:sz w:val="21"/>
          <w:szCs w:val="21"/>
          <w:highlight w:val="none"/>
        </w:rPr>
        <w:t>文件的损坏、丢失的，不承担责任。</w:t>
      </w:r>
    </w:p>
    <w:p>
      <w:pPr>
        <w:keepNext w:val="0"/>
        <w:keepLines w:val="0"/>
        <w:pageBreakBefore w:val="0"/>
        <w:widowControl/>
        <w:numPr>
          <w:ilvl w:val="0"/>
          <w:numId w:val="0"/>
        </w:numPr>
        <w:tabs>
          <w:tab w:val="left" w:pos="420"/>
        </w:tabs>
        <w:kinsoku w:val="0"/>
        <w:wordWrap/>
        <w:overflowPunct/>
        <w:topLinePunct w:val="0"/>
        <w:autoSpaceDE w:val="0"/>
        <w:autoSpaceDN w:val="0"/>
        <w:bidi w:val="0"/>
        <w:adjustRightInd w:val="0"/>
        <w:snapToGrid w:val="0"/>
        <w:spacing w:line="360" w:lineRule="auto"/>
        <w:ind w:left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pacing w:val="1"/>
          <w:sz w:val="21"/>
          <w:szCs w:val="21"/>
          <w:highlight w:val="none"/>
        </w:rPr>
        <w:t>出现下述情形之一，属于未成功提交</w:t>
      </w:r>
      <w:r>
        <w:rPr>
          <w:rFonts w:hint="eastAsia" w:ascii="宋体" w:hAnsi="宋体" w:eastAsia="宋体" w:cs="宋体"/>
          <w:color w:val="auto"/>
          <w:spacing w:val="1"/>
          <w:sz w:val="21"/>
          <w:szCs w:val="21"/>
          <w:highlight w:val="none"/>
          <w:lang w:eastAsia="zh-CN"/>
        </w:rPr>
        <w:t>响应</w:t>
      </w:r>
      <w:r>
        <w:rPr>
          <w:rFonts w:hint="eastAsia" w:ascii="宋体" w:hAnsi="宋体" w:eastAsia="宋体" w:cs="宋体"/>
          <w:color w:val="auto"/>
          <w:spacing w:val="1"/>
          <w:sz w:val="21"/>
          <w:szCs w:val="21"/>
          <w:highlight w:val="none"/>
        </w:rPr>
        <w:t>文件，按无效</w:t>
      </w:r>
      <w:r>
        <w:rPr>
          <w:rFonts w:hint="eastAsia" w:ascii="宋体" w:hAnsi="宋体" w:eastAsia="宋体" w:cs="宋体"/>
          <w:color w:val="auto"/>
          <w:spacing w:val="1"/>
          <w:sz w:val="21"/>
          <w:szCs w:val="21"/>
          <w:highlight w:val="none"/>
          <w:lang w:eastAsia="zh-CN"/>
        </w:rPr>
        <w:t>响应</w:t>
      </w:r>
      <w:r>
        <w:rPr>
          <w:rFonts w:hint="eastAsia" w:ascii="宋体" w:hAnsi="宋体" w:eastAsia="宋体" w:cs="宋体"/>
          <w:color w:val="auto"/>
          <w:spacing w:val="1"/>
          <w:sz w:val="21"/>
          <w:szCs w:val="21"/>
          <w:highlight w:val="none"/>
        </w:rPr>
        <w:t>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（1）至提交响应文件截止时，响应文件未完整递交的。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pacing w:val="1"/>
          <w:sz w:val="21"/>
          <w:szCs w:val="21"/>
          <w:highlight w:val="none"/>
          <w:lang w:eastAsia="zh-CN"/>
        </w:rPr>
        <w:t>响应</w:t>
      </w:r>
      <w:r>
        <w:rPr>
          <w:rFonts w:hint="eastAsia" w:ascii="宋体" w:hAnsi="宋体" w:eastAsia="宋体" w:cs="宋体"/>
          <w:color w:val="auto"/>
          <w:spacing w:val="1"/>
          <w:sz w:val="21"/>
          <w:szCs w:val="21"/>
          <w:highlight w:val="none"/>
        </w:rPr>
        <w:t>文件未按</w:t>
      </w:r>
      <w:r>
        <w:rPr>
          <w:rFonts w:hint="eastAsia" w:ascii="宋体" w:hAnsi="宋体" w:eastAsia="宋体" w:cs="宋体"/>
          <w:color w:val="auto"/>
          <w:spacing w:val="1"/>
          <w:sz w:val="21"/>
          <w:szCs w:val="21"/>
          <w:highlight w:val="none"/>
          <w:lang w:eastAsia="zh-CN"/>
        </w:rPr>
        <w:t>响应</w:t>
      </w:r>
      <w:r>
        <w:rPr>
          <w:rFonts w:hint="eastAsia" w:ascii="宋体" w:hAnsi="宋体" w:eastAsia="宋体" w:cs="宋体"/>
          <w:color w:val="auto"/>
          <w:spacing w:val="1"/>
          <w:sz w:val="21"/>
          <w:szCs w:val="21"/>
          <w:highlight w:val="none"/>
        </w:rPr>
        <w:t>格式中注明需签字盖章的要求进行签名和</w:t>
      </w:r>
      <w:r>
        <w:rPr>
          <w:rFonts w:hint="eastAsia" w:ascii="宋体" w:hAnsi="宋体" w:eastAsia="宋体" w:cs="宋体"/>
          <w:color w:val="auto"/>
          <w:spacing w:val="1"/>
          <w:sz w:val="21"/>
          <w:szCs w:val="21"/>
          <w:highlight w:val="none"/>
          <w:lang w:eastAsia="zh-CN"/>
        </w:rPr>
        <w:t>盖章的</w:t>
      </w:r>
      <w:r>
        <w:rPr>
          <w:rFonts w:hint="eastAsia" w:ascii="宋体" w:hAnsi="宋体" w:eastAsia="宋体" w:cs="宋体"/>
          <w:color w:val="auto"/>
          <w:spacing w:val="1"/>
          <w:sz w:val="21"/>
          <w:szCs w:val="21"/>
          <w:highlight w:val="none"/>
        </w:rPr>
        <w:t>，或签名或</w:t>
      </w:r>
      <w:r>
        <w:rPr>
          <w:rFonts w:hint="eastAsia" w:ascii="宋体" w:hAnsi="宋体" w:eastAsia="宋体" w:cs="宋体"/>
          <w:color w:val="auto"/>
          <w:spacing w:val="1"/>
          <w:sz w:val="21"/>
          <w:szCs w:val="21"/>
          <w:highlight w:val="none"/>
          <w:lang w:eastAsia="zh-CN"/>
        </w:rPr>
        <w:t>盖章</w:t>
      </w:r>
      <w:r>
        <w:rPr>
          <w:rFonts w:hint="eastAsia" w:ascii="宋体" w:hAnsi="宋体" w:eastAsia="宋体" w:cs="宋体"/>
          <w:color w:val="auto"/>
          <w:spacing w:val="1"/>
          <w:sz w:val="21"/>
          <w:szCs w:val="21"/>
          <w:highlight w:val="none"/>
        </w:rPr>
        <w:t>不完整的。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color w:val="auto"/>
          <w:highlight w:val="none"/>
        </w:rPr>
        <w:t>4.响应文件的修改、撤回与撤销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4.1在提交响应文件截止时间前，供应商可以修改或撤回响应文件，并于提交响应文件截止时间前将修改后响应文件</w:t>
      </w:r>
      <w:r>
        <w:rPr>
          <w:rFonts w:hint="eastAsia" w:ascii="宋体" w:hAnsi="宋体" w:eastAsia="宋体" w:cs="宋体"/>
          <w:color w:val="auto"/>
          <w:highlight w:val="none"/>
          <w:lang w:eastAsia="zh-CN"/>
        </w:rPr>
        <w:t>重新递交</w:t>
      </w:r>
      <w:r>
        <w:rPr>
          <w:rFonts w:hint="eastAsia" w:ascii="宋体" w:hAnsi="宋体" w:eastAsia="宋体" w:cs="宋体"/>
          <w:color w:val="auto"/>
          <w:highlight w:val="none"/>
        </w:rPr>
        <w:t>，到达响应文件提交截止时间后，将不允许修改或撤回。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4.2在提交响应文件截止时间后，供应商不得补充、修改和更换响应文件。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57" w:name="_Toc4500"/>
      <w:r>
        <w:rPr>
          <w:rFonts w:hint="eastAsia" w:ascii="宋体" w:hAnsi="宋体" w:eastAsia="宋体" w:cs="宋体"/>
          <w:color w:val="auto"/>
          <w:highlight w:val="none"/>
        </w:rPr>
        <w:t>5.响应文件的解密</w:t>
      </w:r>
      <w:bookmarkEnd w:id="5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开评标会议现场由代理解封</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58" w:name="_Toc30640"/>
      <w:r>
        <w:rPr>
          <w:rFonts w:hint="eastAsia" w:ascii="宋体" w:hAnsi="宋体" w:eastAsia="宋体" w:cs="宋体"/>
          <w:color w:val="auto"/>
          <w:highlight w:val="none"/>
        </w:rPr>
        <w:t>6.响应保证金</w:t>
      </w:r>
      <w:bookmarkEnd w:id="58"/>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6.1响应保证金的缴纳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在提交</w:t>
      </w:r>
      <w:r>
        <w:rPr>
          <w:rFonts w:hint="eastAsia" w:ascii="宋体" w:hAnsi="宋体" w:eastAsia="宋体" w:cs="宋体"/>
          <w:color w:val="auto"/>
          <w:spacing w:val="1"/>
          <w:sz w:val="21"/>
          <w:szCs w:val="21"/>
          <w:highlight w:val="none"/>
          <w:lang w:eastAsia="zh-CN"/>
        </w:rPr>
        <w:t>响应文件</w:t>
      </w:r>
      <w:r>
        <w:rPr>
          <w:rFonts w:hint="eastAsia" w:ascii="宋体" w:hAnsi="宋体" w:eastAsia="宋体" w:cs="宋体"/>
          <w:color w:val="auto"/>
          <w:spacing w:val="1"/>
          <w:sz w:val="21"/>
          <w:szCs w:val="21"/>
          <w:highlight w:val="none"/>
        </w:rPr>
        <w:t>时，应按</w:t>
      </w:r>
      <w:r>
        <w:rPr>
          <w:rFonts w:hint="eastAsia" w:ascii="宋体" w:hAnsi="宋体" w:eastAsia="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须知前附表规定的金额和缴纳要求缴纳投标保证金，并作为其</w:t>
      </w:r>
      <w:r>
        <w:rPr>
          <w:rFonts w:hint="eastAsia" w:ascii="宋体" w:hAnsi="宋体" w:eastAsia="宋体" w:cs="宋体"/>
          <w:color w:val="auto"/>
          <w:spacing w:val="1"/>
          <w:sz w:val="21"/>
          <w:szCs w:val="21"/>
          <w:highlight w:val="none"/>
          <w:lang w:eastAsia="zh-CN"/>
        </w:rPr>
        <w:t>响应文件</w:t>
      </w:r>
      <w:r>
        <w:rPr>
          <w:rFonts w:hint="eastAsia" w:ascii="宋体" w:hAnsi="宋体" w:eastAsia="宋体" w:cs="宋体"/>
          <w:color w:val="auto"/>
          <w:spacing w:val="1"/>
          <w:sz w:val="21"/>
          <w:szCs w:val="21"/>
          <w:highlight w:val="none"/>
        </w:rPr>
        <w:t>的组成部</w:t>
      </w:r>
      <w:r>
        <w:rPr>
          <w:rFonts w:hint="eastAsia" w:ascii="宋体" w:hAnsi="宋体" w:eastAsia="宋体" w:cs="宋体"/>
          <w:color w:val="auto"/>
          <w:spacing w:val="-4"/>
          <w:sz w:val="21"/>
          <w:szCs w:val="21"/>
          <w:highlight w:val="none"/>
        </w:rPr>
        <w:t>分。</w:t>
      </w:r>
      <w:r>
        <w:rPr>
          <w:rFonts w:hint="eastAsia" w:ascii="宋体" w:hAnsi="宋体" w:eastAsia="宋体" w:cs="宋体"/>
          <w:color w:val="auto"/>
          <w:spacing w:val="1"/>
          <w:sz w:val="21"/>
          <w:szCs w:val="21"/>
          <w:highlight w:val="none"/>
        </w:rPr>
        <w:t>如采用转账、支票、本票、汇票形式提交的，投标保证金从</w:t>
      </w:r>
      <w:r>
        <w:rPr>
          <w:rFonts w:hint="eastAsia" w:ascii="宋体" w:hAnsi="宋体" w:eastAsia="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基本账户递交，由</w:t>
      </w:r>
      <w:r>
        <w:rPr>
          <w:rFonts w:hint="eastAsia" w:ascii="宋体" w:hAnsi="宋体" w:eastAsia="宋体" w:cs="宋体"/>
          <w:color w:val="auto"/>
          <w:spacing w:val="1"/>
          <w:sz w:val="21"/>
          <w:szCs w:val="21"/>
          <w:highlight w:val="none"/>
          <w:lang w:val="en-US" w:eastAsia="zh-CN"/>
        </w:rPr>
        <w:t>采购代理机构</w:t>
      </w:r>
      <w:r>
        <w:rPr>
          <w:rFonts w:hint="eastAsia" w:ascii="宋体" w:hAnsi="宋体" w:eastAsia="宋体" w:cs="宋体"/>
          <w:color w:val="auto"/>
          <w:spacing w:val="1"/>
          <w:sz w:val="21"/>
          <w:szCs w:val="21"/>
          <w:highlight w:val="none"/>
        </w:rPr>
        <w:t>代收。具体操作要求详见</w:t>
      </w:r>
      <w:r>
        <w:rPr>
          <w:rFonts w:hint="eastAsia" w:ascii="宋体" w:hAnsi="宋体" w:eastAsia="宋体" w:cs="宋体"/>
          <w:color w:val="auto"/>
          <w:spacing w:val="1"/>
          <w:sz w:val="21"/>
          <w:szCs w:val="21"/>
          <w:highlight w:val="none"/>
          <w:lang w:eastAsia="zh-CN"/>
        </w:rPr>
        <w:t>磋商文件</w:t>
      </w:r>
      <w:r>
        <w:rPr>
          <w:rFonts w:hint="eastAsia" w:ascii="宋体" w:hAnsi="宋体" w:eastAsia="宋体" w:cs="宋体"/>
          <w:color w:val="auto"/>
          <w:spacing w:val="1"/>
          <w:sz w:val="21"/>
          <w:szCs w:val="21"/>
          <w:highlight w:val="none"/>
        </w:rPr>
        <w:t xml:space="preserve">第二章 </w:t>
      </w:r>
      <w:r>
        <w:rPr>
          <w:rFonts w:hint="eastAsia" w:ascii="宋体" w:hAnsi="宋体" w:eastAsia="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须知前附表有关指引，递交事宜请自行咨询</w:t>
      </w:r>
      <w:r>
        <w:rPr>
          <w:rFonts w:hint="eastAsia" w:ascii="宋体" w:hAnsi="宋体" w:eastAsia="宋体" w:cs="宋体"/>
          <w:color w:val="auto"/>
          <w:spacing w:val="1"/>
          <w:sz w:val="21"/>
          <w:szCs w:val="21"/>
          <w:highlight w:val="none"/>
          <w:lang w:val="en-US" w:eastAsia="zh-CN"/>
        </w:rPr>
        <w:t>采购代理机构</w:t>
      </w:r>
      <w:r>
        <w:rPr>
          <w:rFonts w:hint="eastAsia" w:ascii="宋体" w:hAnsi="宋体" w:eastAsia="宋体" w:cs="宋体"/>
          <w:color w:val="auto"/>
          <w:spacing w:val="1"/>
          <w:sz w:val="21"/>
          <w:szCs w:val="21"/>
          <w:highlight w:val="none"/>
        </w:rPr>
        <w:t>；请各</w:t>
      </w:r>
      <w:r>
        <w:rPr>
          <w:rFonts w:hint="eastAsia" w:ascii="宋体" w:hAnsi="宋体" w:eastAsia="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在投标文 件递交截止时间前按须知前附表规定的金额递交至</w:t>
      </w:r>
      <w:r>
        <w:rPr>
          <w:rFonts w:hint="eastAsia" w:ascii="宋体" w:hAnsi="宋体" w:eastAsia="宋体" w:cs="宋体"/>
          <w:color w:val="auto"/>
          <w:spacing w:val="1"/>
          <w:sz w:val="21"/>
          <w:szCs w:val="21"/>
          <w:highlight w:val="none"/>
          <w:lang w:val="en-US" w:eastAsia="zh-CN"/>
        </w:rPr>
        <w:t>采购代理机构</w:t>
      </w:r>
      <w:r>
        <w:rPr>
          <w:rFonts w:hint="eastAsia" w:ascii="宋体" w:hAnsi="宋体" w:eastAsia="宋体" w:cs="宋体"/>
          <w:color w:val="auto"/>
          <w:spacing w:val="1"/>
          <w:sz w:val="21"/>
          <w:szCs w:val="21"/>
          <w:highlight w:val="none"/>
        </w:rPr>
        <w:t>，到账情况以开标时</w:t>
      </w:r>
      <w:r>
        <w:rPr>
          <w:rFonts w:hint="eastAsia" w:ascii="宋体" w:hAnsi="宋体" w:eastAsia="宋体" w:cs="宋体"/>
          <w:color w:val="auto"/>
          <w:spacing w:val="1"/>
          <w:sz w:val="21"/>
          <w:szCs w:val="21"/>
          <w:highlight w:val="none"/>
          <w:lang w:val="en-US" w:eastAsia="zh-CN"/>
        </w:rPr>
        <w:t>采购代理机构</w:t>
      </w:r>
      <w:r>
        <w:rPr>
          <w:rFonts w:hint="eastAsia" w:ascii="宋体" w:hAnsi="宋体" w:eastAsia="宋体" w:cs="宋体"/>
          <w:color w:val="auto"/>
          <w:spacing w:val="1"/>
          <w:sz w:val="21"/>
          <w:szCs w:val="21"/>
          <w:highlight w:val="none"/>
        </w:rPr>
        <w:t>查询的信息为准。如采用金融机构、专业担保机构开具的投标担保函、投标保证保险函等形式提交投标保证金的，投标担保函或投标保证保险函须开具给采购人（保险受益人须为采购人），并与</w:t>
      </w:r>
      <w:r>
        <w:rPr>
          <w:rFonts w:hint="eastAsia" w:ascii="宋体" w:hAnsi="宋体" w:eastAsia="宋体" w:cs="宋体"/>
          <w:color w:val="auto"/>
          <w:spacing w:val="1"/>
          <w:sz w:val="21"/>
          <w:szCs w:val="21"/>
          <w:highlight w:val="none"/>
          <w:lang w:eastAsia="zh-CN"/>
        </w:rPr>
        <w:t>响应文件</w:t>
      </w:r>
      <w:r>
        <w:rPr>
          <w:rFonts w:hint="eastAsia" w:ascii="宋体" w:hAnsi="宋体" w:eastAsia="宋体" w:cs="宋体"/>
          <w:color w:val="auto"/>
          <w:spacing w:val="1"/>
          <w:sz w:val="21"/>
          <w:szCs w:val="21"/>
          <w:highlight w:val="none"/>
        </w:rPr>
        <w:t>一同递交。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6.2响应保证金的退还：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（1）供应商在递交响应文件截止时间前放弃响应的，自所投采购包结果公告发出后5个工作日内退还。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（2）未成交的供应商保证金，在成交供应商发出后5个工作日内原额退还。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（3）成交供应商的响应保证金,在成交供应商与采购人签订采购合同后5个工作日内原额退还。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备注：但因供应商自身原因导致无法及时退还的除外。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6.3有下列情形之一的，响应保证金将不予退还并上缴国库：</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（1）提供虚假材料谋取成交的；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（2）供应商在磋商文件规定的响应有效期内撤销其响应；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（3）成交后，无正当理由放弃成交资格；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（4）成交后，无正当理由不与采购人签订合同；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（5）法律法规和磋商文件规定的其他情形。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59" w:name="_Toc29173"/>
      <w:r>
        <w:rPr>
          <w:rFonts w:hint="eastAsia" w:ascii="宋体" w:hAnsi="宋体" w:eastAsia="宋体" w:cs="宋体"/>
          <w:color w:val="auto"/>
          <w:highlight w:val="none"/>
        </w:rPr>
        <w:t>7.响应有效期</w:t>
      </w:r>
      <w:bookmarkEnd w:id="5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7.1响应有效期内供应商撤销响应文件的，采购人或者采购代理机构可以不退还响应保证金（如有）。采用响应保函方式替代保证金的，采购人或者采购代理机构可以向担保机构索赔保证金。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60" w:name="_Toc27275"/>
      <w:r>
        <w:rPr>
          <w:rFonts w:hint="eastAsia" w:ascii="宋体" w:hAnsi="宋体" w:eastAsia="宋体" w:cs="宋体"/>
          <w:color w:val="auto"/>
          <w:highlight w:val="none"/>
        </w:rPr>
        <w:t>8.样品（演示）</w:t>
      </w:r>
      <w:bookmarkEnd w:id="6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8.1磋商文件规定供应商提交样品的，样品属于响应文件的组成部分。样品的生产、运输、安装、保全等一切费用由供应商自理。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8.2递交响应文件截止时间前，供应商应将样品送达至指定地点。若需要现场演示的，供应商应提前做好演示准备（包括演示设备）。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61" w:name="_Toc17166"/>
      <w:r>
        <w:rPr>
          <w:rFonts w:hint="eastAsia" w:ascii="宋体" w:hAnsi="宋体" w:eastAsia="宋体" w:cs="宋体"/>
          <w:color w:val="auto"/>
          <w:highlight w:val="none"/>
        </w:rPr>
        <w:t>9.除磋商文件另有规定外，有下列情形之一的，响应无效：</w:t>
      </w:r>
      <w:bookmarkEnd w:id="6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9.1响应文件未按照磋商文件要求签署、盖章；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9.2不符合磋商文件中规定的资格要求；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9.3磋商报价超过磋商文件中规定的预算金额或最高限价；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9.4响应文件含有采购人不能接受的附加条件；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9.5有关法律、法规和规章及磋商文件规定的其他无效情形。</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62" w:name="_Toc18786"/>
      <w:r>
        <w:rPr>
          <w:rFonts w:hint="eastAsia" w:ascii="宋体" w:hAnsi="宋体" w:eastAsia="宋体" w:cs="宋体"/>
          <w:color w:val="auto"/>
          <w:highlight w:val="none"/>
        </w:rPr>
        <w:t>六、磋商、评审和结果确定</w:t>
      </w:r>
      <w:bookmarkEnd w:id="62"/>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63" w:name="_Toc17084"/>
      <w:r>
        <w:rPr>
          <w:rFonts w:hint="eastAsia" w:ascii="宋体" w:hAnsi="宋体" w:eastAsia="宋体" w:cs="宋体"/>
          <w:color w:val="auto"/>
          <w:highlight w:val="none"/>
        </w:rPr>
        <w:t>1.响应文件的开启</w:t>
      </w:r>
      <w:bookmarkEnd w:id="6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1.1开启程序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工作人员按磋商公告规定的时间进行开启，由采购人或者采购代理机构工作人员宣布供应商名称、</w:t>
      </w:r>
      <w:r>
        <w:rPr>
          <w:rFonts w:hint="eastAsia" w:ascii="宋体" w:hAnsi="宋体" w:eastAsia="宋体" w:cs="宋体"/>
          <w:color w:val="auto"/>
          <w:highlight w:val="none"/>
          <w:lang w:eastAsia="zh-CN"/>
        </w:rPr>
        <w:t>磋商文件密封</w:t>
      </w:r>
      <w:r>
        <w:rPr>
          <w:rFonts w:hint="eastAsia" w:ascii="宋体" w:hAnsi="宋体" w:eastAsia="宋体" w:cs="宋体"/>
          <w:color w:val="auto"/>
          <w:highlight w:val="none"/>
        </w:rPr>
        <w:t>情况和磋商文件规定的需要宣布的其他内容。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供应商的法定代表人或其委托代理人应当按照本磋商公告载明的时间和地点前往参加开启，并携带本项目（采购包）响应文件前往开启现场。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1.2异议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供应商代表对开启过程和开启记录有疑义，以及认为采购人、采购代理机构相关工作人员有需要回避的情形的，应当场提出询问或者回避申请。供应商未参加开启的，视同认可开启结果。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1.3投标截止时间后，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不足须知前附表中约定的有效供应商家数的，不得开标。同时，本次采购活动结束。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开标时出现下列情况的，视为投标无效处理：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响应文件数量不满足招标文件要求的</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响应文件未按招标文件要求密封的</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64" w:name="_Toc15837"/>
      <w:r>
        <w:rPr>
          <w:rFonts w:hint="eastAsia" w:ascii="宋体" w:hAnsi="宋体" w:eastAsia="宋体" w:cs="宋体"/>
          <w:color w:val="auto"/>
          <w:highlight w:val="none"/>
        </w:rPr>
        <w:t>2.评审（详见第四章）</w:t>
      </w:r>
      <w:bookmarkEnd w:id="6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65" w:name="_Toc12890"/>
      <w:r>
        <w:rPr>
          <w:rFonts w:hint="eastAsia" w:ascii="宋体" w:hAnsi="宋体" w:eastAsia="宋体" w:cs="宋体"/>
          <w:color w:val="auto"/>
          <w:highlight w:val="none"/>
        </w:rPr>
        <w:t>3.定标</w:t>
      </w:r>
      <w:bookmarkEnd w:id="6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3.1中标公告：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2"/>
          <w:sz w:val="21"/>
          <w:szCs w:val="21"/>
          <w:highlight w:val="none"/>
        </w:rPr>
        <w:t>中标</w:t>
      </w:r>
      <w:r>
        <w:rPr>
          <w:rFonts w:hint="eastAsia" w:ascii="宋体" w:hAnsi="宋体" w:eastAsia="宋体" w:cs="宋体"/>
          <w:color w:val="auto"/>
          <w:sz w:val="21"/>
          <w:szCs w:val="21"/>
          <w:highlight w:val="none"/>
        </w:rPr>
        <w:t>供应商</w:t>
      </w:r>
      <w:r>
        <w:rPr>
          <w:rFonts w:hint="eastAsia" w:ascii="宋体" w:hAnsi="宋体" w:eastAsia="宋体" w:cs="宋体"/>
          <w:color w:val="auto"/>
          <w:highlight w:val="none"/>
        </w:rPr>
        <w:t>确定之日起2个工作日内，在</w:t>
      </w:r>
      <w:r>
        <w:rPr>
          <w:rFonts w:hint="eastAsia" w:ascii="宋体" w:hAnsi="宋体" w:eastAsia="宋体" w:cs="宋体"/>
          <w:color w:val="auto"/>
          <w:highlight w:val="none"/>
          <w:lang w:eastAsia="zh-CN"/>
        </w:rPr>
        <w:t>采购与招标网</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东莞市金燕工程管理有限公司</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www.gdjygcgl.com/</w:t>
      </w:r>
      <w:r>
        <w:rPr>
          <w:rFonts w:hint="eastAsia" w:ascii="宋体" w:hAnsi="宋体" w:eastAsia="宋体" w:cs="宋体"/>
          <w:color w:val="auto"/>
          <w:highlight w:val="none"/>
        </w:rPr>
        <w:t>）上以公告的形式发布中标结果，结果公告的公告期限为1个工作日。结果公告同时作为采购代理机构通知除中标供应商外的其他供应商没有中标的书面形式，采购代理机构不再以其它方式另行通知。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3.2中标通知书：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中标通知书在发布中标公告</w:t>
      </w:r>
      <w:r>
        <w:rPr>
          <w:rFonts w:hint="eastAsia" w:ascii="宋体" w:hAnsi="宋体" w:eastAsia="宋体" w:cs="宋体"/>
          <w:color w:val="auto"/>
          <w:highlight w:val="none"/>
          <w:lang w:eastAsia="zh-CN"/>
        </w:rPr>
        <w:t>当天</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采购代理机构即可出具中标通知书，中标供应商按规定办理领取手续后即可领取。</w:t>
      </w:r>
      <w:r>
        <w:rPr>
          <w:rFonts w:hint="eastAsia" w:ascii="宋体" w:hAnsi="宋体" w:eastAsia="宋体" w:cs="宋体"/>
          <w:color w:val="auto"/>
          <w:highlight w:val="none"/>
        </w:rPr>
        <w:t>中标通知书发出后，采购人不得违法改变中标结果，中标供应商不得放弃中标。中标供应商放弃中标的，应当依法承担相应的法律责任。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3.3终止公告：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终止磋商采购活动后，将在</w:t>
      </w:r>
      <w:r>
        <w:rPr>
          <w:rFonts w:hint="eastAsia" w:ascii="宋体" w:hAnsi="宋体" w:eastAsia="宋体" w:cs="宋体"/>
          <w:color w:val="auto"/>
          <w:highlight w:val="none"/>
          <w:lang w:eastAsia="zh-CN"/>
        </w:rPr>
        <w:t>采购与招标网及东莞市金燕工程管理有限公司</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www.gdjygcgl.com/</w:t>
      </w:r>
      <w:r>
        <w:rPr>
          <w:rFonts w:hint="eastAsia" w:ascii="宋体" w:hAnsi="宋体" w:eastAsia="宋体" w:cs="宋体"/>
          <w:color w:val="auto"/>
          <w:highlight w:val="none"/>
        </w:rPr>
        <w:t>）上发布终止公告，终止公告的公告期限为1个工作日。</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66" w:name="_Toc4339"/>
      <w:r>
        <w:rPr>
          <w:rFonts w:hint="eastAsia" w:ascii="宋体" w:hAnsi="宋体" w:eastAsia="宋体" w:cs="宋体"/>
          <w:color w:val="auto"/>
          <w:highlight w:val="none"/>
        </w:rPr>
        <w:t>七、询问、质疑与投诉</w:t>
      </w:r>
      <w:bookmarkEnd w:id="66"/>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67" w:name="_Toc14310"/>
      <w:r>
        <w:rPr>
          <w:rFonts w:hint="eastAsia" w:ascii="宋体" w:hAnsi="宋体" w:eastAsia="宋体" w:cs="宋体"/>
          <w:color w:val="auto"/>
          <w:highlight w:val="none"/>
        </w:rPr>
        <w:t>1.询问</w:t>
      </w:r>
      <w:bookmarkEnd w:id="6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供应商对政府采购活动事项（磋商文件、采购过程和</w:t>
      </w:r>
      <w:r>
        <w:rPr>
          <w:rFonts w:hint="eastAsia" w:ascii="宋体" w:hAnsi="宋体" w:eastAsia="宋体" w:cs="宋体"/>
          <w:color w:val="auto"/>
          <w:highlight w:val="none"/>
          <w:lang w:eastAsia="zh-CN"/>
        </w:rPr>
        <w:t>中标结果</w:t>
      </w:r>
      <w:r>
        <w:rPr>
          <w:rFonts w:hint="eastAsia" w:ascii="宋体" w:hAnsi="宋体" w:eastAsia="宋体" w:cs="宋体"/>
          <w:color w:val="auto"/>
          <w:highlight w:val="none"/>
        </w:rPr>
        <w:t>）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68" w:name="_Toc22021"/>
      <w:r>
        <w:rPr>
          <w:rFonts w:hint="eastAsia" w:ascii="宋体" w:hAnsi="宋体" w:eastAsia="宋体" w:cs="宋体"/>
          <w:color w:val="auto"/>
          <w:highlight w:val="none"/>
        </w:rPr>
        <w:t>2.质疑</w:t>
      </w:r>
      <w:bookmarkEnd w:id="68"/>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2.1供应商认为磋商文件、采购过程和</w:t>
      </w:r>
      <w:r>
        <w:rPr>
          <w:rFonts w:hint="eastAsia" w:ascii="宋体" w:hAnsi="宋体" w:eastAsia="宋体" w:cs="宋体"/>
          <w:color w:val="auto"/>
          <w:highlight w:val="none"/>
          <w:lang w:eastAsia="zh-CN"/>
        </w:rPr>
        <w:t>中标结果</w:t>
      </w:r>
      <w:r>
        <w:rPr>
          <w:rFonts w:hint="eastAsia" w:ascii="宋体" w:hAnsi="宋体" w:eastAsia="宋体" w:cs="宋体"/>
          <w:color w:val="auto"/>
          <w:highlight w:val="none"/>
        </w:rPr>
        <w:t>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（1）对磋商文件提出质疑的，为获取磋商文件之日或者磋商文件公告期限届满之日；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（3）对</w:t>
      </w:r>
      <w:r>
        <w:rPr>
          <w:rFonts w:hint="eastAsia" w:ascii="宋体" w:hAnsi="宋体" w:eastAsia="宋体" w:cs="宋体"/>
          <w:color w:val="auto"/>
          <w:highlight w:val="none"/>
          <w:lang w:eastAsia="zh-CN"/>
        </w:rPr>
        <w:t>中标结果</w:t>
      </w:r>
      <w:r>
        <w:rPr>
          <w:rFonts w:hint="eastAsia" w:ascii="宋体" w:hAnsi="宋体" w:eastAsia="宋体" w:cs="宋体"/>
          <w:color w:val="auto"/>
          <w:highlight w:val="none"/>
        </w:rPr>
        <w:t>提出质疑的，为</w:t>
      </w:r>
      <w:r>
        <w:rPr>
          <w:rFonts w:hint="eastAsia" w:ascii="宋体" w:hAnsi="宋体" w:eastAsia="宋体" w:cs="宋体"/>
          <w:color w:val="auto"/>
          <w:highlight w:val="none"/>
          <w:lang w:eastAsia="zh-CN"/>
        </w:rPr>
        <w:t>中标结果</w:t>
      </w:r>
      <w:r>
        <w:rPr>
          <w:rFonts w:hint="eastAsia" w:ascii="宋体" w:hAnsi="宋体" w:eastAsia="宋体" w:cs="宋体"/>
          <w:color w:val="auto"/>
          <w:highlight w:val="none"/>
        </w:rPr>
        <w:t>公告期限届满之日。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2.2质疑函应当包括下列主要内容：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（1）质疑供应商和相关供应商的名称、地址、邮编、联系人及联系电话等；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（2）质疑项目名称及编号、具体明确的质疑事项和与质疑事项相关的请求；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（3）认为磋商文件、采购过程和</w:t>
      </w:r>
      <w:r>
        <w:rPr>
          <w:rFonts w:hint="eastAsia" w:ascii="宋体" w:hAnsi="宋体" w:eastAsia="宋体" w:cs="宋体"/>
          <w:color w:val="auto"/>
          <w:highlight w:val="none"/>
          <w:lang w:eastAsia="zh-CN"/>
        </w:rPr>
        <w:t>中标结果</w:t>
      </w:r>
      <w:r>
        <w:rPr>
          <w:rFonts w:hint="eastAsia" w:ascii="宋体" w:hAnsi="宋体" w:eastAsia="宋体" w:cs="宋体"/>
          <w:color w:val="auto"/>
          <w:highlight w:val="none"/>
        </w:rPr>
        <w:t>使自己的合法权益受到损害的法律依据、事实依据、相关证明材料及证据来源；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（4）提出质疑的日期。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2.3质疑函应当署名。质疑供应商为自然人的，应当由本人签字；质疑供应商为法人或者其他组织的，应当由法定代表人、主要负责人，或者其授权代表签字或者盖章，并加盖公章。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2.4以联合体形式参加政府采购活动的，其质疑应当由联合体成员委托主体提出。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2.6质疑联系方式如下：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质疑联系人：</w:t>
      </w:r>
      <w:r>
        <w:rPr>
          <w:rFonts w:hint="eastAsia" w:ascii="宋体" w:hAnsi="宋体" w:eastAsia="宋体" w:cs="宋体"/>
          <w:color w:val="auto"/>
          <w:highlight w:val="none"/>
          <w:lang w:eastAsia="zh-CN"/>
        </w:rPr>
        <w:t>李工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lang w:eastAsia="zh-CN"/>
        </w:rPr>
        <w:t>13416956677</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邮箱：</w:t>
      </w:r>
      <w:r>
        <w:rPr>
          <w:rFonts w:hint="eastAsia" w:ascii="宋体" w:hAnsi="宋体" w:eastAsia="宋体" w:cs="宋体"/>
          <w:color w:val="auto"/>
          <w:highlight w:val="none"/>
          <w:lang w:val="en-US" w:eastAsia="zh-CN"/>
        </w:rPr>
        <w:t>592341468@qq.com</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广东省东莞市望牛墩镇中下坊明基新村十三巷2号之一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邮编：523000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69" w:name="_Toc28974"/>
      <w:r>
        <w:rPr>
          <w:rFonts w:hint="eastAsia" w:ascii="宋体" w:hAnsi="宋体" w:eastAsia="宋体" w:cs="宋体"/>
          <w:color w:val="auto"/>
          <w:highlight w:val="none"/>
        </w:rPr>
        <w:t>3.投诉</w:t>
      </w:r>
      <w:bookmarkEnd w:id="6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质疑人对采购人或采购代理机构的质疑答复不满意或在规定时间内未得到答复的，可以在答复期满后15个工作日内，按如下联系方式向本项目监督管理部门提起投诉。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政府采购监督管理机构名称：</w:t>
      </w:r>
      <w:r>
        <w:rPr>
          <w:rFonts w:hint="eastAsia" w:ascii="宋体" w:hAnsi="宋体" w:eastAsia="宋体" w:cs="宋体"/>
          <w:color w:val="auto"/>
          <w:highlight w:val="none"/>
          <w:lang w:eastAsia="zh-CN"/>
        </w:rPr>
        <w:t>采购人及其上级单位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邮编：523000</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70" w:name="_Toc29652"/>
      <w:r>
        <w:rPr>
          <w:rFonts w:hint="eastAsia" w:ascii="宋体" w:hAnsi="宋体" w:eastAsia="宋体" w:cs="宋体"/>
          <w:color w:val="auto"/>
          <w:highlight w:val="none"/>
        </w:rPr>
        <w:t>八、合同签订和履行</w:t>
      </w:r>
      <w:bookmarkEnd w:id="7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71" w:name="_Toc4467"/>
      <w:r>
        <w:rPr>
          <w:rFonts w:hint="eastAsia" w:ascii="宋体" w:hAnsi="宋体" w:eastAsia="宋体" w:cs="宋体"/>
          <w:color w:val="auto"/>
          <w:highlight w:val="none"/>
        </w:rPr>
        <w:t>1.合同签订</w:t>
      </w:r>
      <w:bookmarkEnd w:id="7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1.1采购人应当自《中标通知书》发出之日起三十日内，按照</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和中标供应商</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的约定，与中标供应商签订合同。所签订的合同不得对</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和中标供应商</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作实质性修改。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1.2采购人不得提出试用合格等任何不合理的要求作为签订合同的条件，且不得与中标供应商私下订立背离合同实质性内容的协议。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72" w:name="_Toc8722"/>
      <w:r>
        <w:rPr>
          <w:rFonts w:hint="eastAsia" w:ascii="宋体" w:hAnsi="宋体" w:eastAsia="宋体" w:cs="宋体"/>
          <w:color w:val="auto"/>
          <w:highlight w:val="none"/>
        </w:rPr>
        <w:t>2.合同的履行</w:t>
      </w:r>
      <w:bookmarkEnd w:id="72"/>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2.1政府采购合同订立后，合同各方不得擅自变更、中止或者终止合同。政府采购合同需要变更的，采购人应将有关合同变更内容，以书面形式上级部门（如有）备案；因特殊情况需要中止或终止合同的，采购人应将中止或终止合同的理由以及相应措施，以书面形式报上级部门（如有）备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2.2政府采购合同履行中，采购人需追加与合同标的相同的货物、工程或者服务的，在不改变合同其他条款的前提下，可以与中标供应商签订补充合同，但所补充合同的采购金额不得超过原采购金额的10%。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bidi w:val="0"/>
        <w:outlineLvl w:val="0"/>
        <w:rPr>
          <w:rFonts w:hint="eastAsia" w:ascii="宋体" w:hAnsi="宋体" w:eastAsia="宋体" w:cs="宋体"/>
          <w:color w:val="auto"/>
          <w:sz w:val="28"/>
          <w:szCs w:val="28"/>
          <w:highlight w:val="none"/>
        </w:rPr>
      </w:pPr>
      <w:bookmarkStart w:id="73" w:name="_Toc25901"/>
      <w:r>
        <w:rPr>
          <w:rFonts w:hint="eastAsia" w:ascii="宋体" w:hAnsi="宋体" w:eastAsia="宋体" w:cs="宋体"/>
          <w:color w:val="auto"/>
          <w:sz w:val="28"/>
          <w:szCs w:val="28"/>
          <w:highlight w:val="none"/>
        </w:rPr>
        <w:t>第四章评审</w:t>
      </w:r>
      <w:bookmarkEnd w:id="73"/>
    </w:p>
    <w:p>
      <w:pPr>
        <w:spacing w:line="441" w:lineRule="auto"/>
        <w:rPr>
          <w:rFonts w:hint="eastAsia" w:ascii="宋体" w:hAnsi="宋体" w:eastAsia="宋体" w:cs="宋体"/>
          <w:color w:val="auto"/>
          <w:sz w:val="21"/>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74" w:name="_Toc26790"/>
      <w:bookmarkStart w:id="75" w:name="_Toc16717"/>
      <w:r>
        <w:rPr>
          <w:rFonts w:hint="eastAsia" w:ascii="宋体" w:hAnsi="宋体" w:eastAsia="宋体" w:cs="宋体"/>
          <w:color w:val="auto"/>
          <w:highlight w:val="none"/>
        </w:rPr>
        <w:t>一、评审要求</w:t>
      </w:r>
      <w:bookmarkEnd w:id="74"/>
      <w:bookmarkEnd w:id="7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76" w:name="_Toc17174"/>
      <w:bookmarkStart w:id="77" w:name="_Toc13517"/>
      <w:r>
        <w:rPr>
          <w:rFonts w:hint="eastAsia" w:ascii="宋体" w:hAnsi="宋体" w:eastAsia="宋体" w:cs="宋体"/>
          <w:color w:val="auto"/>
          <w:highlight w:val="none"/>
        </w:rPr>
        <w:t>1.评审方法</w:t>
      </w:r>
      <w:bookmarkEnd w:id="76"/>
      <w:bookmarkEnd w:id="7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lang w:eastAsia="zh-CN"/>
        </w:rPr>
        <w:t>石龙坑石河西十七巷新建拆迁安置房项目-新增400kVA箱变电站</w:t>
      </w:r>
      <w:r>
        <w:rPr>
          <w:rFonts w:hint="eastAsia" w:ascii="宋体" w:hAnsi="宋体" w:eastAsia="宋体" w:cs="宋体"/>
          <w:color w:val="auto"/>
          <w:highlight w:val="none"/>
        </w:rPr>
        <w:t>)：综合评分法,是指响应文件满足磋商文件全部实质性要求，且按照评审因素的量化指标评审得分最高的投标人为成交候选人的评标方法。（最低报价不是成交的唯一依据。）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78" w:name="_Toc21974"/>
      <w:bookmarkStart w:id="79" w:name="_Toc11771"/>
      <w:r>
        <w:rPr>
          <w:rFonts w:hint="eastAsia" w:ascii="宋体" w:hAnsi="宋体" w:eastAsia="宋体" w:cs="宋体"/>
          <w:color w:val="auto"/>
          <w:highlight w:val="none"/>
        </w:rPr>
        <w:t>2.评审原则</w:t>
      </w:r>
      <w:bookmarkEnd w:id="78"/>
      <w:bookmarkEnd w:id="7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2.1评审活动遵循公平、公正、科学和择优的原则，以磋商文件和响应文件为评审的基本依据，并按照磋商文件规定的评审方法和评审标准进行评审。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80" w:name="_Toc4607"/>
      <w:bookmarkStart w:id="81" w:name="_Toc1712"/>
      <w:r>
        <w:rPr>
          <w:rFonts w:hint="eastAsia" w:ascii="宋体" w:hAnsi="宋体" w:eastAsia="宋体" w:cs="宋体"/>
          <w:color w:val="auto"/>
          <w:highlight w:val="none"/>
        </w:rPr>
        <w:t>3.磋商小组</w:t>
      </w:r>
      <w:bookmarkEnd w:id="80"/>
      <w:bookmarkEnd w:id="8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3.1磋商小组由采购人代表和评审专家组成，成员人数应当为3人及以上单数，其中技术、经济等方面的评审专家不得少于成员总数的三分之二。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3.2评审应遵守下列评审纪律：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（1）评审情况不得私自外泄，有关信息由</w:t>
      </w:r>
      <w:r>
        <w:rPr>
          <w:rFonts w:hint="eastAsia" w:eastAsia="宋体"/>
          <w:color w:val="auto"/>
          <w:highlight w:val="none"/>
          <w:lang w:val="en-US" w:eastAsia="zh-CN"/>
        </w:rPr>
        <w:t>采购代理机构</w:t>
      </w:r>
      <w:r>
        <w:rPr>
          <w:rFonts w:hint="eastAsia" w:ascii="宋体" w:hAnsi="宋体" w:eastAsia="宋体" w:cs="宋体"/>
          <w:color w:val="auto"/>
          <w:highlight w:val="none"/>
        </w:rPr>
        <w:t>统一对外发布。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（2）对</w:t>
      </w:r>
      <w:r>
        <w:rPr>
          <w:rFonts w:hint="eastAsia" w:eastAsia="宋体"/>
          <w:color w:val="auto"/>
          <w:highlight w:val="none"/>
          <w:lang w:val="en-US" w:eastAsia="zh-CN"/>
        </w:rPr>
        <w:t>采购代理机构</w:t>
      </w:r>
      <w:r>
        <w:rPr>
          <w:rFonts w:hint="eastAsia" w:ascii="宋体" w:hAnsi="宋体" w:eastAsia="宋体" w:cs="宋体"/>
          <w:color w:val="auto"/>
          <w:highlight w:val="none"/>
        </w:rPr>
        <w:t>或供应商提供的要求保密的资料，不得摘记翻印和外传。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（3）不得收受响应供应商或有关人员的任何礼物，不得串联鼓动其他人袒护某供应商。若与供应商存在利害关系，则应主动声明并回避。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（4）全体评委应按照磋商文件规定进行评审，一切认定事项应查有实据且不得弄虚作假。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（5）磋商小组各成员应当独立对每个响应供应商的响应文件进行评价，并对评价意见承担个人责任。评审过程中，不得发表倾向性言论。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对违反评审纪律的评委，将取消其评委资格，对评审工作造成严重损失者将予以通报批评乃至追究法律责任。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82" w:name="_Toc22407"/>
      <w:bookmarkStart w:id="83" w:name="_Toc2802"/>
      <w:r>
        <w:rPr>
          <w:rFonts w:hint="eastAsia" w:ascii="宋体" w:hAnsi="宋体" w:eastAsia="宋体" w:cs="宋体"/>
          <w:color w:val="auto"/>
          <w:highlight w:val="none"/>
        </w:rPr>
        <w:t>4.有下列情形之一的，视为供应商串通响应，其响应无效</w:t>
      </w:r>
      <w:bookmarkEnd w:id="82"/>
      <w:bookmarkEnd w:id="8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4.1不同供应商的响应文件由同一单位或者个人编制；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4.2不同供应商委托同一单位或者个人办理响应事宜；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4.3不同供应商的响应文件载明的项目管理成员或者联系人员为同一人；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4.4不同供应商的响应文件异常一致或者响应报价呈规律性差异；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4.5不同供应商的响应文件相互混装；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4.6不同供应商的响应保证金或购买保函支付款为从同一单位或个人的账户转出。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4.7不同投标人的投标文件由同一台计算机编制。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4.8投标人的投标文件加盖该项目的其他投标人的印章的。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说明：在评标过程中发现投标人有上述情形的，评标委员会应当认定其投标无效。同时，项目评审时被认定为串通投标的投标人不得参加该合同项下的采购活动。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84" w:name="_Toc21286"/>
      <w:bookmarkStart w:id="85" w:name="_Toc426"/>
      <w:r>
        <w:rPr>
          <w:rFonts w:hint="eastAsia" w:ascii="宋体" w:hAnsi="宋体" w:eastAsia="宋体" w:cs="宋体"/>
          <w:color w:val="auto"/>
          <w:highlight w:val="none"/>
        </w:rPr>
        <w:t>5.有下列情形之一的，属于恶意串通响应：</w:t>
      </w:r>
      <w:bookmarkEnd w:id="84"/>
      <w:bookmarkEnd w:id="8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（1）供应商直接或者间接从采购人或者采购代理机构处获得其他供应商的相关情况并修改其响应文件；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（3）供应商之间协商报价、技术方案等响应文件的实质性内容；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（5）供应商之间事先约定由某一特定供应商成交；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（6）供应商之间商定部分供应商放弃参加政府采购活动或者放弃成交；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（7）供应商与采购人或者采购代理机构之间、供应商相互之间，为谋求特定供应商成交或者排斥其他供应商的其他串通行为。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86" w:name="_Toc22745"/>
      <w:bookmarkStart w:id="87" w:name="_Toc31547"/>
      <w:r>
        <w:rPr>
          <w:rFonts w:hint="eastAsia" w:ascii="宋体" w:hAnsi="宋体" w:eastAsia="宋体" w:cs="宋体"/>
          <w:color w:val="auto"/>
          <w:highlight w:val="none"/>
        </w:rPr>
        <w:t>6.其他响应无效的情形</w:t>
      </w:r>
      <w:bookmarkEnd w:id="86"/>
      <w:bookmarkEnd w:id="8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详见资格性审查、符合性审查和磋商文件其他响应无效条款。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88" w:name="_Toc1665"/>
      <w:bookmarkStart w:id="89" w:name="_Toc31942"/>
      <w:r>
        <w:rPr>
          <w:rFonts w:hint="eastAsia" w:ascii="宋体" w:hAnsi="宋体" w:eastAsia="宋体" w:cs="宋体"/>
          <w:color w:val="auto"/>
          <w:highlight w:val="none"/>
        </w:rPr>
        <w:t>7.终止竞争性磋商采购活动的情形</w:t>
      </w:r>
      <w:bookmarkEnd w:id="88"/>
      <w:bookmarkEnd w:id="8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（1）因情况变化，不再符合规定的竞争性磋商采购方式适用情形的；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（3）除《政府采购竞争性磋商采购方式暂行办法》第二十一条第三款规定的情形外，在采购过程中符合要求的供应商或者报价未超过采购预算的供应商不足3家的；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（4）法律、法规以及磋商文件规定其他情形。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90" w:name="_Toc2033"/>
      <w:bookmarkStart w:id="91" w:name="_Toc22298"/>
      <w:r>
        <w:rPr>
          <w:rFonts w:hint="eastAsia" w:ascii="宋体" w:hAnsi="宋体" w:eastAsia="宋体" w:cs="宋体"/>
          <w:color w:val="auto"/>
          <w:highlight w:val="none"/>
        </w:rPr>
        <w:t>8.</w:t>
      </w:r>
      <w:bookmarkEnd w:id="90"/>
      <w:r>
        <w:rPr>
          <w:rFonts w:hint="eastAsia" w:ascii="宋体" w:hAnsi="宋体" w:eastAsia="宋体" w:cs="宋体"/>
          <w:color w:val="auto"/>
          <w:highlight w:val="none"/>
        </w:rPr>
        <w:t>定标</w:t>
      </w:r>
      <w:bookmarkEnd w:id="9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磋商小组按照磋商文件确定的评审方法、步骤、标准，对响应文件进行评审。评审结束后，对供应商的评审名次进行排序，确定中标供应商或者推荐中标候选供应商。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92" w:name="_Toc20563"/>
      <w:bookmarkStart w:id="93" w:name="_Toc28211"/>
      <w:r>
        <w:rPr>
          <w:rFonts w:hint="eastAsia" w:ascii="宋体" w:hAnsi="宋体" w:eastAsia="宋体" w:cs="宋体"/>
          <w:color w:val="auto"/>
          <w:highlight w:val="none"/>
        </w:rPr>
        <w:t>9.价格修正</w:t>
      </w:r>
      <w:bookmarkEnd w:id="92"/>
      <w:bookmarkEnd w:id="9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对报价的计算错误按以下原则修正：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（1）响应文件中首轮报价表（报价表）内容与响应文件中相应内容不一致的，以首轮报价表（报价表）为准；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（3）单价金额小数点或者百分比有明显错位的，以首轮报价表的总价为准，并修改单价；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（4）总价金额与按单价汇总金额不一致的，以单价金额计算结果为准。但是单价金额计算结果超过预算价的，对其按无效响应处理；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注：同时出现两种以上不一致的，按照前款规定的顺序在系统上进行价格澄清。供应商澄清后的价格确认后产生约束力，但不得超出响应文件的范围或者改变响应文件的实质性内容，供应商不确认的，其响应无效。</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4" w:leftChars="0" w:hanging="14" w:hangingChars="6"/>
        <w:jc w:val="both"/>
        <w:textAlignment w:val="baseline"/>
        <w:outlineLvl w:val="1"/>
        <w:rPr>
          <w:rFonts w:hint="eastAsia" w:ascii="宋体" w:hAnsi="宋体" w:eastAsia="宋体" w:cs="宋体"/>
          <w:color w:val="auto"/>
          <w:highlight w:val="none"/>
        </w:rPr>
      </w:pPr>
      <w:bookmarkStart w:id="94" w:name="_Toc3403"/>
      <w:bookmarkStart w:id="95" w:name="_Toc11739"/>
      <w:r>
        <w:rPr>
          <w:rFonts w:hint="eastAsia" w:ascii="宋体" w:hAnsi="宋体" w:eastAsia="宋体" w:cs="宋体"/>
          <w:color w:val="auto"/>
          <w:highlight w:val="none"/>
        </w:rPr>
        <w:t>二、</w:t>
      </w:r>
      <w:bookmarkEnd w:id="94"/>
      <w:bookmarkEnd w:id="95"/>
      <w:bookmarkStart w:id="96" w:name="_Toc13514"/>
      <w:bookmarkStart w:id="97" w:name="_Toc24021"/>
      <w:r>
        <w:rPr>
          <w:rFonts w:hint="eastAsia" w:ascii="宋体" w:hAnsi="宋体" w:eastAsia="宋体" w:cs="宋体"/>
          <w:color w:val="auto"/>
          <w:highlight w:val="none"/>
        </w:rPr>
        <w:t>评审程序</w:t>
      </w:r>
      <w:bookmarkEnd w:id="96"/>
      <w:bookmarkEnd w:id="9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98" w:name="_Toc340"/>
      <w:bookmarkStart w:id="99" w:name="_Toc5949"/>
      <w:r>
        <w:rPr>
          <w:rFonts w:hint="eastAsia" w:ascii="宋体" w:hAnsi="宋体" w:eastAsia="宋体" w:cs="宋体"/>
          <w:color w:val="auto"/>
          <w:highlight w:val="none"/>
        </w:rPr>
        <w:t>1.资格性审查和符合性审查</w:t>
      </w:r>
      <w:bookmarkEnd w:id="98"/>
      <w:bookmarkEnd w:id="9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磋商小组对各磋商供应商进行资格性和符合性审查过程中，对初步被认定为初审不合格或无效响应者应实行及时告知，由磋商小组组长或采购人代表将集体意见及时告知报价当事人。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lang w:eastAsia="zh-CN"/>
        </w:rPr>
        <w:t>磋商小组</w:t>
      </w:r>
      <w:r>
        <w:rPr>
          <w:rFonts w:hint="eastAsia"/>
          <w:color w:val="auto"/>
          <w:highlight w:val="none"/>
        </w:rPr>
        <w:t>认为</w:t>
      </w:r>
      <w:r>
        <w:rPr>
          <w:rFonts w:hint="eastAsia"/>
          <w:color w:val="auto"/>
          <w:highlight w:val="none"/>
          <w:lang w:eastAsia="zh-CN"/>
        </w:rPr>
        <w:t>供应商</w:t>
      </w:r>
      <w:r>
        <w:rPr>
          <w:rFonts w:hint="eastAsia"/>
          <w:color w:val="auto"/>
          <w:highlight w:val="none"/>
        </w:rPr>
        <w:t>的报价明显低于其他通过符合性审查</w:t>
      </w:r>
      <w:r>
        <w:rPr>
          <w:rFonts w:hint="eastAsia"/>
          <w:color w:val="auto"/>
          <w:highlight w:val="none"/>
          <w:lang w:eastAsia="zh-CN"/>
        </w:rPr>
        <w:t>供应商</w:t>
      </w:r>
      <w:r>
        <w:rPr>
          <w:rFonts w:hint="eastAsia"/>
          <w:color w:val="auto"/>
          <w:highlight w:val="none"/>
        </w:rPr>
        <w:t>的报价，有可能影响产品质量或者不能诚信履约的，应当要求其在评标现场合理的时间内提供书面说明，必要时提交相关证明材料；</w:t>
      </w:r>
      <w:r>
        <w:rPr>
          <w:rFonts w:hint="eastAsia"/>
          <w:color w:val="auto"/>
          <w:highlight w:val="none"/>
          <w:lang w:eastAsia="zh-CN"/>
        </w:rPr>
        <w:t>供应商</w:t>
      </w:r>
      <w:r>
        <w:rPr>
          <w:rFonts w:hint="eastAsia"/>
          <w:color w:val="auto"/>
          <w:highlight w:val="none"/>
        </w:rPr>
        <w:t>不能证明其报价合理性的，</w:t>
      </w:r>
      <w:r>
        <w:rPr>
          <w:rFonts w:hint="eastAsia"/>
          <w:color w:val="auto"/>
          <w:highlight w:val="none"/>
          <w:lang w:eastAsia="zh-CN"/>
        </w:rPr>
        <w:t>磋商小组</w:t>
      </w:r>
      <w:r>
        <w:rPr>
          <w:rFonts w:hint="eastAsia"/>
          <w:color w:val="auto"/>
          <w:highlight w:val="none"/>
        </w:rPr>
        <w:t>应当将其作为无效投标处理。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合格</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不足3家的，不得评标。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表一资格性审查表：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lang w:eastAsia="zh-CN"/>
        </w:rPr>
        <w:t>石龙坑石河西十七巷新建拆迁安置房项目-新增400kVA箱变电站</w:t>
      </w:r>
      <w:r>
        <w:rPr>
          <w:rFonts w:hint="eastAsia" w:ascii="宋体" w:hAnsi="宋体" w:eastAsia="宋体" w:cs="宋体"/>
          <w:color w:val="auto"/>
          <w:highlight w:val="none"/>
        </w:rPr>
        <w:t>）：</w:t>
      </w:r>
    </w:p>
    <w:tbl>
      <w:tblPr>
        <w:tblStyle w:val="24"/>
        <w:tblW w:w="96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
        <w:gridCol w:w="688"/>
        <w:gridCol w:w="2210"/>
        <w:gridCol w:w="5"/>
        <w:gridCol w:w="6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94" w:type="dxa"/>
            <w:gridSpan w:val="2"/>
            <w:shd w:val="clear" w:color="auto" w:fill="F5F5F5"/>
            <w:vAlign w:val="top"/>
          </w:tcPr>
          <w:p>
            <w:pPr>
              <w:bidi w:val="0"/>
              <w:spacing w:line="360" w:lineRule="auto"/>
              <w:jc w:val="center"/>
              <w:rPr>
                <w:rFonts w:hint="eastAsia" w:ascii="宋体" w:hAnsi="宋体" w:eastAsia="宋体" w:cs="宋体"/>
                <w:color w:val="auto"/>
                <w:highlight w:val="none"/>
              </w:rPr>
            </w:pPr>
          </w:p>
        </w:tc>
        <w:tc>
          <w:tcPr>
            <w:tcW w:w="2215" w:type="dxa"/>
            <w:gridSpan w:val="2"/>
            <w:tcBorders>
              <w:right w:val="single" w:color="auto" w:sz="4" w:space="0"/>
            </w:tcBorders>
            <w:shd w:val="clear" w:color="auto" w:fill="F5F5F5"/>
            <w:vAlign w:val="top"/>
          </w:tcPr>
          <w:p>
            <w:pPr>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11"/>
                <w:sz w:val="21"/>
                <w:szCs w:val="21"/>
                <w:highlight w:val="none"/>
              </w:rPr>
              <w:t>评审点要求概况</w:t>
            </w:r>
          </w:p>
        </w:tc>
        <w:tc>
          <w:tcPr>
            <w:tcW w:w="6745" w:type="dxa"/>
            <w:tcBorders>
              <w:left w:val="single" w:color="auto" w:sz="4" w:space="0"/>
            </w:tcBorders>
            <w:shd w:val="clear" w:color="auto" w:fill="F5F5F5"/>
            <w:vAlign w:val="top"/>
          </w:tcPr>
          <w:p>
            <w:pPr>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694" w:type="dxa"/>
            <w:gridSpan w:val="2"/>
            <w:vMerge w:val="restart"/>
            <w:vAlign w:val="center"/>
          </w:tcPr>
          <w:p>
            <w:pPr>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资格</w:t>
            </w:r>
            <w:r>
              <w:rPr>
                <w:rFonts w:hint="eastAsia" w:ascii="宋体" w:hAnsi="宋体" w:eastAsia="宋体" w:cs="宋体"/>
                <w:color w:val="auto"/>
                <w:highlight w:val="none"/>
                <w:lang w:eastAsia="zh-CN"/>
              </w:rPr>
              <w:t>性</w:t>
            </w:r>
            <w:r>
              <w:rPr>
                <w:rFonts w:hint="eastAsia" w:ascii="宋体" w:hAnsi="宋体" w:eastAsia="宋体" w:cs="宋体"/>
                <w:color w:val="auto"/>
                <w:highlight w:val="none"/>
              </w:rPr>
              <w:t>审查</w:t>
            </w:r>
          </w:p>
        </w:tc>
        <w:tc>
          <w:tcPr>
            <w:tcW w:w="2210" w:type="dxa"/>
            <w:tcBorders>
              <w:right w:val="single" w:color="auto" w:sz="4" w:space="0"/>
            </w:tcBorders>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具有独立承担民事责任的能力</w:t>
            </w:r>
          </w:p>
        </w:tc>
        <w:tc>
          <w:tcPr>
            <w:tcW w:w="6750" w:type="dxa"/>
            <w:gridSpan w:val="2"/>
            <w:tcBorders>
              <w:left w:val="single" w:color="auto" w:sz="4" w:space="0"/>
            </w:tcBorders>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694" w:type="dxa"/>
            <w:gridSpan w:val="2"/>
            <w:vMerge w:val="continue"/>
            <w:vAlign w:val="center"/>
          </w:tcPr>
          <w:p>
            <w:pPr>
              <w:bidi w:val="0"/>
              <w:spacing w:line="360" w:lineRule="auto"/>
              <w:jc w:val="center"/>
              <w:rPr>
                <w:rFonts w:hint="eastAsia" w:ascii="宋体" w:hAnsi="宋体" w:eastAsia="宋体" w:cs="宋体"/>
                <w:color w:val="auto"/>
                <w:highlight w:val="none"/>
              </w:rPr>
            </w:pPr>
          </w:p>
        </w:tc>
        <w:tc>
          <w:tcPr>
            <w:tcW w:w="2210" w:type="dxa"/>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w:t>
            </w:r>
          </w:p>
        </w:tc>
        <w:tc>
          <w:tcPr>
            <w:tcW w:w="6750" w:type="dxa"/>
            <w:gridSpan w:val="2"/>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提供投标截止日前6个月内任意1个月依法缴纳税收和社会保障资金的相关材料（或提供相关承诺函）。如依法免税或不需要缴纳社会保障资金的，提供相应证明材料</w:t>
            </w:r>
            <w:r>
              <w:rPr>
                <w:rFonts w:hint="eastAsia" w:ascii="宋体" w:hAnsi="宋体" w:eastAsia="宋体" w:cs="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694" w:type="dxa"/>
            <w:gridSpan w:val="2"/>
            <w:vMerge w:val="continue"/>
            <w:vAlign w:val="center"/>
          </w:tcPr>
          <w:p>
            <w:pPr>
              <w:bidi w:val="0"/>
              <w:spacing w:line="360" w:lineRule="auto"/>
              <w:jc w:val="center"/>
              <w:rPr>
                <w:rFonts w:hint="eastAsia" w:ascii="宋体" w:hAnsi="宋体" w:eastAsia="宋体" w:cs="宋体"/>
                <w:color w:val="auto"/>
                <w:highlight w:val="none"/>
              </w:rPr>
            </w:pPr>
          </w:p>
        </w:tc>
        <w:tc>
          <w:tcPr>
            <w:tcW w:w="2210" w:type="dxa"/>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具有良好的商业信誉和健全的财务会计制度</w:t>
            </w:r>
          </w:p>
        </w:tc>
        <w:tc>
          <w:tcPr>
            <w:tcW w:w="6750" w:type="dxa"/>
            <w:gridSpan w:val="2"/>
            <w:vAlign w:val="center"/>
          </w:tcPr>
          <w:p>
            <w:pPr>
              <w:bidi w:val="0"/>
              <w:spacing w:line="360" w:lineRule="auto"/>
              <w:rPr>
                <w:rFonts w:hint="eastAsia" w:ascii="宋体" w:hAnsi="宋体" w:eastAsia="宋体" w:cs="宋体"/>
                <w:color w:val="auto"/>
                <w:highlight w:val="none"/>
              </w:rPr>
            </w:pPr>
            <w:r>
              <w:rPr>
                <w:color w:val="auto"/>
                <w:highlight w:val="none"/>
              </w:rPr>
              <w:t xml:space="preserve">提供最近一年年度财务状况报告或最近一年内任意一个月的财务状况报告或基本开户行出具的资信证明或专业担保机构出具的投标担保函或提供相关承诺函 </w:t>
            </w:r>
            <w:r>
              <w:rPr>
                <w:rFonts w:hint="eastAsia" w:ascii="宋体" w:hAnsi="宋体" w:eastAsia="宋体" w:cs="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94" w:type="dxa"/>
            <w:gridSpan w:val="2"/>
            <w:vMerge w:val="continue"/>
            <w:vAlign w:val="center"/>
          </w:tcPr>
          <w:p>
            <w:pPr>
              <w:bidi w:val="0"/>
              <w:spacing w:line="360" w:lineRule="auto"/>
              <w:jc w:val="center"/>
              <w:rPr>
                <w:rFonts w:hint="eastAsia" w:ascii="宋体" w:hAnsi="宋体" w:eastAsia="宋体" w:cs="宋体"/>
                <w:color w:val="auto"/>
                <w:highlight w:val="none"/>
              </w:rPr>
            </w:pPr>
          </w:p>
        </w:tc>
        <w:tc>
          <w:tcPr>
            <w:tcW w:w="2210" w:type="dxa"/>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履行合同所必须的设备和专业技术能力</w:t>
            </w:r>
          </w:p>
        </w:tc>
        <w:tc>
          <w:tcPr>
            <w:tcW w:w="6750" w:type="dxa"/>
            <w:gridSpan w:val="2"/>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按投标（响应）文件格式填报设备及专业技术能力情况。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694" w:type="dxa"/>
            <w:gridSpan w:val="2"/>
            <w:vMerge w:val="continue"/>
            <w:vAlign w:val="center"/>
          </w:tcPr>
          <w:p>
            <w:pPr>
              <w:bidi w:val="0"/>
              <w:spacing w:line="360" w:lineRule="auto"/>
              <w:jc w:val="center"/>
              <w:rPr>
                <w:rFonts w:hint="eastAsia" w:ascii="宋体" w:hAnsi="宋体" w:eastAsia="宋体" w:cs="宋体"/>
                <w:color w:val="auto"/>
                <w:highlight w:val="none"/>
              </w:rPr>
            </w:pPr>
          </w:p>
        </w:tc>
        <w:tc>
          <w:tcPr>
            <w:tcW w:w="2210" w:type="dxa"/>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参加采购活动前3年内，在经营活动中没有重大违法记录</w:t>
            </w:r>
          </w:p>
        </w:tc>
        <w:tc>
          <w:tcPr>
            <w:tcW w:w="6750" w:type="dxa"/>
            <w:gridSpan w:val="2"/>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在经营活动中没有重大违法记录：</w:t>
            </w:r>
            <w:r>
              <w:rPr>
                <w:rFonts w:hint="eastAsia" w:ascii="宋体" w:hAnsi="宋体" w:eastAsia="宋体" w:cs="宋体"/>
                <w:color w:val="auto"/>
                <w:highlight w:val="none"/>
                <w:lang w:val="en-US" w:eastAsia="zh-CN"/>
              </w:rPr>
              <w:t>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s="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694" w:type="dxa"/>
            <w:gridSpan w:val="2"/>
            <w:vMerge w:val="continue"/>
            <w:vAlign w:val="center"/>
          </w:tcPr>
          <w:p>
            <w:pPr>
              <w:bidi w:val="0"/>
              <w:spacing w:line="360" w:lineRule="auto"/>
              <w:jc w:val="center"/>
              <w:rPr>
                <w:rFonts w:hint="eastAsia" w:ascii="宋体" w:hAnsi="宋体" w:eastAsia="宋体" w:cs="宋体"/>
                <w:color w:val="auto"/>
                <w:highlight w:val="none"/>
              </w:rPr>
            </w:pPr>
          </w:p>
        </w:tc>
        <w:tc>
          <w:tcPr>
            <w:tcW w:w="2210" w:type="dxa"/>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信用记录</w:t>
            </w:r>
          </w:p>
        </w:tc>
        <w:tc>
          <w:tcPr>
            <w:tcW w:w="6750" w:type="dxa"/>
            <w:gridSpan w:val="2"/>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694" w:type="dxa"/>
            <w:gridSpan w:val="2"/>
            <w:vMerge w:val="continue"/>
            <w:vAlign w:val="center"/>
          </w:tcPr>
          <w:p>
            <w:pPr>
              <w:bidi w:val="0"/>
              <w:spacing w:line="360" w:lineRule="auto"/>
              <w:jc w:val="center"/>
              <w:rPr>
                <w:rFonts w:hint="eastAsia" w:ascii="宋体" w:hAnsi="宋体" w:eastAsia="宋体" w:cs="宋体"/>
                <w:color w:val="auto"/>
                <w:highlight w:val="none"/>
              </w:rPr>
            </w:pPr>
          </w:p>
        </w:tc>
        <w:tc>
          <w:tcPr>
            <w:tcW w:w="2210" w:type="dxa"/>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供应商必须符合法律、行政法规规定的其他条件</w:t>
            </w:r>
          </w:p>
        </w:tc>
        <w:tc>
          <w:tcPr>
            <w:tcW w:w="6750" w:type="dxa"/>
            <w:gridSpan w:val="2"/>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4" w:type="dxa"/>
            <w:gridSpan w:val="2"/>
            <w:vMerge w:val="continue"/>
            <w:vAlign w:val="center"/>
          </w:tcPr>
          <w:p>
            <w:pPr>
              <w:bidi w:val="0"/>
              <w:spacing w:line="360" w:lineRule="auto"/>
              <w:jc w:val="center"/>
              <w:rPr>
                <w:rFonts w:hint="eastAsia" w:ascii="宋体" w:hAnsi="宋体" w:eastAsia="宋体" w:cs="宋体"/>
                <w:color w:val="auto"/>
                <w:highlight w:val="none"/>
              </w:rPr>
            </w:pPr>
          </w:p>
        </w:tc>
        <w:tc>
          <w:tcPr>
            <w:tcW w:w="2210" w:type="dxa"/>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落实政府采购政策需满足的资格要求</w:t>
            </w:r>
          </w:p>
        </w:tc>
        <w:tc>
          <w:tcPr>
            <w:tcW w:w="6750" w:type="dxa"/>
            <w:gridSpan w:val="2"/>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本项目非专门面向中小企业采购项目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94" w:type="dxa"/>
            <w:gridSpan w:val="2"/>
            <w:vMerge w:val="continue"/>
            <w:vAlign w:val="center"/>
          </w:tcPr>
          <w:p>
            <w:pPr>
              <w:bidi w:val="0"/>
              <w:spacing w:line="360" w:lineRule="auto"/>
              <w:jc w:val="center"/>
              <w:rPr>
                <w:rFonts w:hint="eastAsia" w:ascii="宋体" w:hAnsi="宋体" w:eastAsia="宋体" w:cs="宋体"/>
                <w:color w:val="auto"/>
                <w:highlight w:val="none"/>
              </w:rPr>
            </w:pPr>
          </w:p>
        </w:tc>
        <w:tc>
          <w:tcPr>
            <w:tcW w:w="2210" w:type="dxa"/>
            <w:vAlign w:val="center"/>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特定资格</w:t>
            </w:r>
          </w:p>
        </w:tc>
        <w:tc>
          <w:tcPr>
            <w:tcW w:w="6750" w:type="dxa"/>
            <w:gridSpan w:val="2"/>
            <w:vAlign w:val="center"/>
          </w:tcPr>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供应商须具备有效的电力工程施工总承包三级(含)以上资质或输变电工程专业承包三级(含)以上资质或承装类五级(含)以上《承装(修、试)电力设施许可证》，且具有有效的《安全生产许可证》。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386" w:hRule="atLeast"/>
        </w:trPr>
        <w:tc>
          <w:tcPr>
            <w:tcW w:w="688" w:type="dxa"/>
            <w:vMerge w:val="restart"/>
            <w:vAlign w:val="center"/>
          </w:tcPr>
          <w:p>
            <w:pPr>
              <w:numPr>
                <w:ilvl w:val="0"/>
                <w:numId w:val="0"/>
              </w:numPr>
              <w:spacing w:before="106" w:line="180" w:lineRule="auto"/>
              <w:ind w:leftChars="0"/>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rPr>
              <w:t>符合性审查</w:t>
            </w:r>
          </w:p>
        </w:tc>
        <w:tc>
          <w:tcPr>
            <w:tcW w:w="2210" w:type="dxa"/>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响应承诺函</w:t>
            </w:r>
          </w:p>
        </w:tc>
        <w:tc>
          <w:tcPr>
            <w:tcW w:w="6750" w:type="dxa"/>
            <w:gridSpan w:val="2"/>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已按规定格式编制及盖章、签署，投标有效期满足</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576" w:hRule="atLeast"/>
        </w:trPr>
        <w:tc>
          <w:tcPr>
            <w:tcW w:w="688" w:type="dxa"/>
            <w:vMerge w:val="continue"/>
            <w:vAlign w:val="top"/>
          </w:tcPr>
          <w:p>
            <w:pPr>
              <w:spacing w:before="298" w:line="180" w:lineRule="auto"/>
              <w:ind w:left="0" w:leftChars="0" w:firstLine="0" w:firstLineChars="0"/>
              <w:jc w:val="center"/>
              <w:rPr>
                <w:rFonts w:hint="eastAsia" w:ascii="宋体" w:hAnsi="宋体" w:eastAsia="宋体" w:cs="宋体"/>
                <w:color w:val="auto"/>
                <w:sz w:val="21"/>
                <w:szCs w:val="21"/>
                <w:highlight w:val="none"/>
              </w:rPr>
            </w:pPr>
          </w:p>
        </w:tc>
        <w:tc>
          <w:tcPr>
            <w:tcW w:w="2210" w:type="dxa"/>
            <w:vAlign w:val="center"/>
          </w:tcPr>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投标保证金</w:t>
            </w:r>
          </w:p>
        </w:tc>
        <w:tc>
          <w:tcPr>
            <w:tcW w:w="6750" w:type="dxa"/>
            <w:gridSpan w:val="2"/>
            <w:vAlign w:val="center"/>
          </w:tcPr>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已按磋商文件规定的金额递交。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576" w:hRule="atLeast"/>
        </w:trPr>
        <w:tc>
          <w:tcPr>
            <w:tcW w:w="688" w:type="dxa"/>
            <w:vMerge w:val="continue"/>
            <w:vAlign w:val="top"/>
          </w:tcPr>
          <w:p>
            <w:pPr>
              <w:spacing w:before="298" w:line="180" w:lineRule="auto"/>
              <w:ind w:left="0" w:leftChars="0" w:firstLine="0" w:firstLineChars="0"/>
              <w:jc w:val="center"/>
              <w:rPr>
                <w:rFonts w:hint="eastAsia" w:ascii="宋体" w:hAnsi="宋体" w:eastAsia="宋体" w:cs="宋体"/>
                <w:color w:val="auto"/>
                <w:sz w:val="21"/>
                <w:szCs w:val="21"/>
                <w:highlight w:val="none"/>
              </w:rPr>
            </w:pPr>
          </w:p>
        </w:tc>
        <w:tc>
          <w:tcPr>
            <w:tcW w:w="2210" w:type="dxa"/>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法定代表人证明书及授权委托书</w:t>
            </w:r>
          </w:p>
        </w:tc>
        <w:tc>
          <w:tcPr>
            <w:tcW w:w="6750" w:type="dxa"/>
            <w:gridSpan w:val="2"/>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已经盖章、签署，授权有效期。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384" w:hRule="atLeast"/>
        </w:trPr>
        <w:tc>
          <w:tcPr>
            <w:tcW w:w="688" w:type="dxa"/>
            <w:vMerge w:val="continue"/>
            <w:vAlign w:val="top"/>
          </w:tcPr>
          <w:p>
            <w:pPr>
              <w:spacing w:before="107" w:line="180" w:lineRule="auto"/>
              <w:ind w:left="0" w:leftChars="0" w:firstLine="0" w:firstLineChars="0"/>
              <w:jc w:val="center"/>
              <w:rPr>
                <w:rFonts w:hint="eastAsia" w:ascii="宋体" w:hAnsi="宋体" w:eastAsia="宋体" w:cs="宋体"/>
                <w:color w:val="auto"/>
                <w:sz w:val="21"/>
                <w:szCs w:val="21"/>
                <w:highlight w:val="none"/>
              </w:rPr>
            </w:pPr>
          </w:p>
        </w:tc>
        <w:tc>
          <w:tcPr>
            <w:tcW w:w="2210" w:type="dxa"/>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内容、签署、盖章</w:t>
            </w:r>
          </w:p>
        </w:tc>
        <w:tc>
          <w:tcPr>
            <w:tcW w:w="6750" w:type="dxa"/>
            <w:gridSpan w:val="2"/>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内容完整，无重大错漏，并已按</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要求盖章、签署。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384" w:hRule="atLeast"/>
        </w:trPr>
        <w:tc>
          <w:tcPr>
            <w:tcW w:w="688" w:type="dxa"/>
            <w:vMerge w:val="continue"/>
            <w:vAlign w:val="top"/>
          </w:tcPr>
          <w:p>
            <w:pPr>
              <w:spacing w:before="111" w:line="180" w:lineRule="auto"/>
              <w:ind w:left="0" w:leftChars="0" w:firstLine="0" w:firstLineChars="0"/>
              <w:jc w:val="center"/>
              <w:rPr>
                <w:rFonts w:hint="eastAsia" w:ascii="宋体" w:hAnsi="宋体" w:eastAsia="宋体" w:cs="宋体"/>
                <w:color w:val="auto"/>
                <w:sz w:val="21"/>
                <w:szCs w:val="21"/>
                <w:highlight w:val="none"/>
              </w:rPr>
            </w:pPr>
          </w:p>
        </w:tc>
        <w:tc>
          <w:tcPr>
            <w:tcW w:w="2210" w:type="dxa"/>
            <w:vAlign w:val="top"/>
          </w:tcPr>
          <w:p>
            <w:pPr>
              <w:bidi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响应文件数量</w:t>
            </w:r>
          </w:p>
        </w:tc>
        <w:tc>
          <w:tcPr>
            <w:tcW w:w="6750" w:type="dxa"/>
            <w:gridSpan w:val="2"/>
            <w:vAlign w:val="top"/>
          </w:tcPr>
          <w:p>
            <w:pPr>
              <w:bidi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已按</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规定</w:t>
            </w:r>
            <w:r>
              <w:rPr>
                <w:rFonts w:hint="eastAsia" w:ascii="宋体" w:hAnsi="宋体" w:eastAsia="宋体" w:cs="宋体"/>
                <w:color w:val="auto"/>
                <w:highlight w:val="none"/>
                <w:lang w:eastAsia="zh-CN"/>
              </w:rPr>
              <w:t>的数量递交。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384" w:hRule="atLeast"/>
        </w:trPr>
        <w:tc>
          <w:tcPr>
            <w:tcW w:w="688" w:type="dxa"/>
            <w:vMerge w:val="continue"/>
            <w:vAlign w:val="top"/>
          </w:tcPr>
          <w:p>
            <w:pPr>
              <w:spacing w:before="111" w:line="180" w:lineRule="auto"/>
              <w:ind w:left="0" w:leftChars="0" w:firstLine="0" w:firstLineChars="0"/>
              <w:jc w:val="center"/>
              <w:rPr>
                <w:rFonts w:hint="eastAsia" w:ascii="宋体" w:hAnsi="宋体" w:eastAsia="宋体" w:cs="宋体"/>
                <w:color w:val="auto"/>
                <w:sz w:val="21"/>
                <w:szCs w:val="21"/>
                <w:highlight w:val="none"/>
              </w:rPr>
            </w:pPr>
          </w:p>
        </w:tc>
        <w:tc>
          <w:tcPr>
            <w:tcW w:w="2210" w:type="dxa"/>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投标报价</w:t>
            </w:r>
          </w:p>
        </w:tc>
        <w:tc>
          <w:tcPr>
            <w:tcW w:w="6750" w:type="dxa"/>
            <w:gridSpan w:val="2"/>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的首轮报价</w:t>
            </w:r>
            <w:r>
              <w:rPr>
                <w:rFonts w:hint="eastAsia" w:ascii="宋体" w:hAnsi="宋体" w:eastAsia="宋体" w:cs="宋体"/>
                <w:color w:val="auto"/>
                <w:highlight w:val="none"/>
                <w:lang w:eastAsia="zh-CN"/>
              </w:rPr>
              <w:t>及最终报价</w:t>
            </w:r>
            <w:r>
              <w:rPr>
                <w:rFonts w:hint="eastAsia" w:ascii="宋体" w:hAnsi="宋体" w:eastAsia="宋体" w:cs="宋体"/>
                <w:color w:val="auto"/>
                <w:highlight w:val="none"/>
              </w:rPr>
              <w:t>无超出项目预算金额</w:t>
            </w:r>
            <w:r>
              <w:rPr>
                <w:rFonts w:hint="eastAsia" w:ascii="宋体" w:hAnsi="宋体" w:eastAsia="宋体" w:cs="宋体"/>
                <w:color w:val="auto"/>
                <w:highlight w:val="none"/>
                <w:lang w:val="en-US" w:eastAsia="zh-CN"/>
              </w:rPr>
              <w:t>/最高限价</w:t>
            </w:r>
            <w:r>
              <w:rPr>
                <w:rFonts w:hint="eastAsia" w:ascii="宋体" w:hAnsi="宋体" w:eastAsia="宋体" w:cs="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384" w:hRule="atLeast"/>
        </w:trPr>
        <w:tc>
          <w:tcPr>
            <w:tcW w:w="688" w:type="dxa"/>
            <w:vMerge w:val="continue"/>
            <w:vAlign w:val="top"/>
          </w:tcPr>
          <w:p>
            <w:pPr>
              <w:spacing w:before="113" w:line="180" w:lineRule="auto"/>
              <w:ind w:left="0" w:leftChars="0" w:firstLine="0" w:firstLineChars="0"/>
              <w:jc w:val="center"/>
              <w:rPr>
                <w:rFonts w:hint="eastAsia" w:ascii="宋体" w:hAnsi="宋体" w:eastAsia="宋体" w:cs="宋体"/>
                <w:color w:val="auto"/>
                <w:sz w:val="21"/>
                <w:szCs w:val="21"/>
                <w:highlight w:val="none"/>
              </w:rPr>
            </w:pPr>
          </w:p>
        </w:tc>
        <w:tc>
          <w:tcPr>
            <w:tcW w:w="2210" w:type="dxa"/>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商务审查</w:t>
            </w:r>
          </w:p>
        </w:tc>
        <w:tc>
          <w:tcPr>
            <w:tcW w:w="6750" w:type="dxa"/>
            <w:gridSpan w:val="2"/>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商务条款满足</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385" w:hRule="atLeast"/>
        </w:trPr>
        <w:tc>
          <w:tcPr>
            <w:tcW w:w="688" w:type="dxa"/>
            <w:vMerge w:val="continue"/>
            <w:vAlign w:val="top"/>
          </w:tcPr>
          <w:p>
            <w:pPr>
              <w:spacing w:before="113" w:line="180" w:lineRule="auto"/>
              <w:ind w:left="0" w:leftChars="0" w:firstLine="0" w:firstLineChars="0"/>
              <w:jc w:val="center"/>
              <w:rPr>
                <w:rFonts w:hint="eastAsia" w:ascii="宋体" w:hAnsi="宋体" w:eastAsia="宋体" w:cs="宋体"/>
                <w:color w:val="auto"/>
                <w:sz w:val="21"/>
                <w:szCs w:val="21"/>
                <w:highlight w:val="none"/>
              </w:rPr>
            </w:pPr>
          </w:p>
        </w:tc>
        <w:tc>
          <w:tcPr>
            <w:tcW w:w="2210" w:type="dxa"/>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技术审查</w:t>
            </w:r>
          </w:p>
        </w:tc>
        <w:tc>
          <w:tcPr>
            <w:tcW w:w="6750" w:type="dxa"/>
            <w:gridSpan w:val="2"/>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技术条款满足</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385" w:hRule="atLeast"/>
        </w:trPr>
        <w:tc>
          <w:tcPr>
            <w:tcW w:w="688" w:type="dxa"/>
            <w:vMerge w:val="continue"/>
            <w:vAlign w:val="top"/>
          </w:tcPr>
          <w:p>
            <w:pPr>
              <w:spacing w:before="116" w:line="180" w:lineRule="auto"/>
              <w:ind w:left="0" w:leftChars="0" w:firstLine="0" w:firstLineChars="0"/>
              <w:jc w:val="center"/>
              <w:rPr>
                <w:rFonts w:hint="eastAsia" w:ascii="宋体" w:hAnsi="宋体" w:eastAsia="宋体" w:cs="宋体"/>
                <w:color w:val="auto"/>
                <w:sz w:val="21"/>
                <w:szCs w:val="21"/>
                <w:highlight w:val="none"/>
              </w:rPr>
            </w:pPr>
          </w:p>
        </w:tc>
        <w:tc>
          <w:tcPr>
            <w:tcW w:w="2210" w:type="dxa"/>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附加条件</w:t>
            </w:r>
          </w:p>
        </w:tc>
        <w:tc>
          <w:tcPr>
            <w:tcW w:w="6750" w:type="dxa"/>
            <w:gridSpan w:val="2"/>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未含有采购人不能接受的附加条件。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394" w:hRule="atLeast"/>
        </w:trPr>
        <w:tc>
          <w:tcPr>
            <w:tcW w:w="688" w:type="dxa"/>
            <w:vMerge w:val="continue"/>
            <w:vAlign w:val="top"/>
          </w:tcPr>
          <w:p>
            <w:pPr>
              <w:spacing w:before="115" w:line="180" w:lineRule="auto"/>
              <w:ind w:left="0" w:leftChars="0" w:firstLine="0" w:firstLineChars="0"/>
              <w:jc w:val="center"/>
              <w:rPr>
                <w:rFonts w:hint="eastAsia" w:ascii="宋体" w:hAnsi="宋体" w:eastAsia="宋体" w:cs="宋体"/>
                <w:color w:val="auto"/>
                <w:sz w:val="21"/>
                <w:szCs w:val="21"/>
                <w:highlight w:val="none"/>
              </w:rPr>
            </w:pPr>
          </w:p>
        </w:tc>
        <w:tc>
          <w:tcPr>
            <w:tcW w:w="2210" w:type="dxa"/>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无效情形</w:t>
            </w:r>
          </w:p>
        </w:tc>
        <w:tc>
          <w:tcPr>
            <w:tcW w:w="6750" w:type="dxa"/>
            <w:gridSpan w:val="2"/>
            <w:vAlign w:val="top"/>
          </w:tcPr>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中未有法律、法规和</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规定的其他无效情形。</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100" w:name="_Toc32047"/>
      <w:bookmarkStart w:id="101" w:name="_Toc25669"/>
      <w:r>
        <w:rPr>
          <w:rFonts w:hint="eastAsia" w:ascii="宋体" w:hAnsi="宋体" w:eastAsia="宋体" w:cs="宋体"/>
          <w:color w:val="auto"/>
          <w:highlight w:val="none"/>
        </w:rPr>
        <w:t>2.响应文件澄清</w:t>
      </w:r>
      <w:bookmarkEnd w:id="100"/>
      <w:bookmarkEnd w:id="10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2.1对于响应文件中含义不明确、同类问题表述不一致或者有明显文字和计算错误的内容，磋商小组可在评审过程中发起在线澄清，要求供应商针对价格或内容做出必要的澄清、说明或补正。代理机构可根据开启环节记录的授权代表人联系方式发送短信提醒或电话告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供应商按规定的时间到达投标现场完成澄清并签字确认。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若因供应商联系方式错误未接收短信、未接听电话或超时未进行澄清（响应）造成的不利后果由供应商自行承担。供应商的澄清、说明或者补正不得超出响应文件的范围或者改变响应文件的实质性内容。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2.2磋商小组不接受供应商主动提出的澄清、说明或补正。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2.3磋商小组对供应商提交的澄清、说明或补正有疑问的，可以要求供应商进一步澄清、说明或补正。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102" w:name="_Toc26311"/>
      <w:bookmarkStart w:id="103" w:name="_Toc27321"/>
      <w:r>
        <w:rPr>
          <w:rFonts w:hint="eastAsia" w:ascii="宋体" w:hAnsi="宋体" w:eastAsia="宋体" w:cs="宋体"/>
          <w:color w:val="auto"/>
          <w:highlight w:val="none"/>
        </w:rPr>
        <w:t>3.磋商</w:t>
      </w:r>
      <w:bookmarkEnd w:id="102"/>
      <w:bookmarkEnd w:id="10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3.1磋商小组所有成员应当集中与单一供应商分别进行磋商，并给予所有参加磋商的供应商平等的磋商机会。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3.3对磋商文件作出的实质性变动是磋商文件的有效组成部分，磋商小组应当及时、同时通知所有参加磋商的供应商。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104" w:name="_Toc28342"/>
      <w:bookmarkStart w:id="105" w:name="_Toc8680"/>
      <w:r>
        <w:rPr>
          <w:rFonts w:hint="eastAsia" w:ascii="宋体" w:hAnsi="宋体" w:eastAsia="宋体" w:cs="宋体"/>
          <w:color w:val="auto"/>
          <w:highlight w:val="none"/>
        </w:rPr>
        <w:t>4.最后报价</w:t>
      </w:r>
      <w:bookmarkEnd w:id="104"/>
      <w:bookmarkEnd w:id="10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4.1磋商结束后，磋商小组应当要求所有实质性响应的供应商在规定时间内提交最后报价。最后报价是供应商响应文件的有效组成部分。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4.2已提交响应文件的供应商，在提交最后报价之前，可以根据磋商情况退出磋商。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4.3除法规规定的特殊性情形外，提交最后报价的供应商不得少于3家。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106" w:name="_Toc27193"/>
      <w:bookmarkStart w:id="107" w:name="_Toc27938"/>
      <w:r>
        <w:rPr>
          <w:rFonts w:hint="eastAsia" w:ascii="宋体" w:hAnsi="宋体" w:eastAsia="宋体" w:cs="宋体"/>
          <w:color w:val="auto"/>
          <w:highlight w:val="none"/>
        </w:rPr>
        <w:t>5.详细评审</w:t>
      </w:r>
      <w:bookmarkEnd w:id="106"/>
      <w:bookmarkEnd w:id="10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石龙坑石河西十七巷新建拆迁安置房项目-新增400kVA箱变电站</w:t>
      </w:r>
    </w:p>
    <w:p>
      <w:pPr>
        <w:pStyle w:val="28"/>
        <w:spacing w:line="420" w:lineRule="atLeast"/>
        <w:ind w:firstLine="453"/>
        <w:rPr>
          <w:rFonts w:hint="eastAsia" w:ascii="宋体" w:eastAsia="宋体" w:cs="宋体"/>
          <w:color w:val="auto"/>
          <w:sz w:val="22"/>
          <w:szCs w:val="22"/>
          <w:highlight w:val="none"/>
        </w:rPr>
      </w:pPr>
      <w:r>
        <w:rPr>
          <w:rFonts w:hint="eastAsia" w:ascii="宋体" w:eastAsia="宋体" w:cs="宋体"/>
          <w:color w:val="auto"/>
          <w:sz w:val="22"/>
          <w:szCs w:val="22"/>
          <w:highlight w:val="none"/>
        </w:rPr>
        <w:t>（1）价格部分（满分</w:t>
      </w:r>
      <w:r>
        <w:rPr>
          <w:rFonts w:hint="eastAsia" w:ascii="宋体" w:eastAsia="宋体" w:cs="宋体"/>
          <w:color w:val="auto"/>
          <w:sz w:val="22"/>
          <w:szCs w:val="22"/>
          <w:highlight w:val="none"/>
          <w:lang w:val="en-US" w:eastAsia="zh-CN"/>
        </w:rPr>
        <w:t>30</w:t>
      </w:r>
      <w:r>
        <w:rPr>
          <w:rFonts w:hint="eastAsia" w:ascii="宋体" w:eastAsia="宋体" w:cs="宋体"/>
          <w:color w:val="auto"/>
          <w:sz w:val="22"/>
          <w:szCs w:val="22"/>
          <w:highlight w:val="none"/>
        </w:rPr>
        <w:t>分）</w:t>
      </w:r>
    </w:p>
    <w:p>
      <w:pPr>
        <w:pStyle w:val="28"/>
        <w:spacing w:line="420" w:lineRule="atLeast"/>
        <w:ind w:firstLine="453"/>
        <w:rPr>
          <w:rFonts w:hint="eastAsia" w:ascii="宋体" w:eastAsia="宋体" w:cs="宋体"/>
          <w:color w:val="auto"/>
          <w:sz w:val="22"/>
          <w:szCs w:val="22"/>
          <w:highlight w:val="none"/>
        </w:rPr>
      </w:pPr>
      <w:r>
        <w:rPr>
          <w:rFonts w:hint="eastAsia" w:ascii="宋体" w:eastAsia="宋体" w:cs="宋体"/>
          <w:color w:val="auto"/>
          <w:sz w:val="22"/>
          <w:szCs w:val="22"/>
          <w:highlight w:val="none"/>
        </w:rPr>
        <w:t>（2）商务部分（满分</w:t>
      </w:r>
      <w:r>
        <w:rPr>
          <w:rFonts w:hint="eastAsia" w:ascii="宋体" w:eastAsia="宋体" w:cs="宋体"/>
          <w:color w:val="auto"/>
          <w:sz w:val="22"/>
          <w:szCs w:val="22"/>
          <w:highlight w:val="none"/>
          <w:lang w:val="en-US" w:eastAsia="zh-CN"/>
        </w:rPr>
        <w:t>2</w:t>
      </w:r>
      <w:r>
        <w:rPr>
          <w:rFonts w:hint="eastAsia" w:ascii="宋体" w:eastAsia="宋体" w:cs="宋体"/>
          <w:color w:val="auto"/>
          <w:sz w:val="22"/>
          <w:szCs w:val="22"/>
          <w:highlight w:val="none"/>
        </w:rPr>
        <w:t>5分）</w:t>
      </w:r>
    </w:p>
    <w:p>
      <w:pPr>
        <w:pStyle w:val="28"/>
        <w:spacing w:line="420" w:lineRule="atLeast"/>
        <w:ind w:firstLine="453"/>
        <w:rPr>
          <w:rFonts w:hint="eastAsia" w:ascii="宋体" w:eastAsia="宋体" w:cs="宋体"/>
          <w:color w:val="auto"/>
          <w:sz w:val="22"/>
          <w:szCs w:val="22"/>
          <w:highlight w:val="none"/>
        </w:rPr>
      </w:pPr>
      <w:r>
        <w:rPr>
          <w:rFonts w:hint="eastAsia" w:ascii="宋体" w:eastAsia="宋体" w:cs="宋体"/>
          <w:color w:val="auto"/>
          <w:sz w:val="22"/>
          <w:szCs w:val="22"/>
          <w:highlight w:val="none"/>
        </w:rPr>
        <w:t>（3）技术部分（满分45分）</w:t>
      </w:r>
    </w:p>
    <w:p>
      <w:pPr>
        <w:pStyle w:val="2"/>
        <w:rPr>
          <w:rFonts w:hint="eastAsia"/>
          <w:color w:val="auto"/>
          <w:highlight w:val="none"/>
          <w:lang w:eastAsia="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85"/>
        <w:gridCol w:w="798"/>
        <w:gridCol w:w="5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4" w:type="dxa"/>
            <w:noWrap w:val="0"/>
            <w:vAlign w:val="center"/>
          </w:tcPr>
          <w:p>
            <w:pPr>
              <w:pStyle w:val="28"/>
              <w:spacing w:line="360" w:lineRule="exact"/>
              <w:ind w:firstLine="0" w:firstLineChars="0"/>
              <w:jc w:val="center"/>
              <w:rPr>
                <w:rFonts w:hint="eastAsia" w:ascii="宋体" w:eastAsia="宋体" w:cs="宋体"/>
                <w:b/>
                <w:color w:val="auto"/>
                <w:sz w:val="22"/>
                <w:szCs w:val="22"/>
                <w:highlight w:val="none"/>
              </w:rPr>
            </w:pPr>
            <w:r>
              <w:rPr>
                <w:rFonts w:hint="eastAsia" w:ascii="宋体" w:eastAsia="宋体" w:cs="宋体"/>
                <w:b/>
                <w:color w:val="auto"/>
                <w:sz w:val="22"/>
                <w:szCs w:val="22"/>
                <w:highlight w:val="none"/>
              </w:rPr>
              <w:t>序号</w:t>
            </w:r>
          </w:p>
        </w:tc>
        <w:tc>
          <w:tcPr>
            <w:tcW w:w="1685" w:type="dxa"/>
            <w:noWrap w:val="0"/>
            <w:vAlign w:val="center"/>
          </w:tcPr>
          <w:p>
            <w:pPr>
              <w:pStyle w:val="28"/>
              <w:spacing w:line="360" w:lineRule="exact"/>
              <w:ind w:firstLine="0" w:firstLineChars="0"/>
              <w:jc w:val="center"/>
              <w:rPr>
                <w:rFonts w:hint="eastAsia" w:ascii="宋体" w:eastAsia="宋体" w:cs="宋体"/>
                <w:b/>
                <w:color w:val="auto"/>
                <w:sz w:val="22"/>
                <w:szCs w:val="22"/>
                <w:highlight w:val="none"/>
              </w:rPr>
            </w:pPr>
            <w:r>
              <w:rPr>
                <w:rFonts w:hint="eastAsia" w:ascii="宋体" w:eastAsia="宋体" w:cs="宋体"/>
                <w:b/>
                <w:color w:val="auto"/>
                <w:sz w:val="22"/>
                <w:szCs w:val="22"/>
                <w:highlight w:val="none"/>
              </w:rPr>
              <w:t>评分内容</w:t>
            </w:r>
          </w:p>
        </w:tc>
        <w:tc>
          <w:tcPr>
            <w:tcW w:w="798" w:type="dxa"/>
            <w:noWrap w:val="0"/>
            <w:vAlign w:val="center"/>
          </w:tcPr>
          <w:p>
            <w:pPr>
              <w:pStyle w:val="28"/>
              <w:spacing w:line="360" w:lineRule="exact"/>
              <w:ind w:firstLine="0" w:firstLineChars="0"/>
              <w:jc w:val="center"/>
              <w:rPr>
                <w:rFonts w:hint="eastAsia" w:ascii="宋体" w:eastAsia="宋体" w:cs="宋体"/>
                <w:b/>
                <w:color w:val="auto"/>
                <w:sz w:val="22"/>
                <w:szCs w:val="22"/>
                <w:highlight w:val="none"/>
              </w:rPr>
            </w:pPr>
            <w:r>
              <w:rPr>
                <w:rFonts w:hint="eastAsia" w:ascii="宋体" w:eastAsia="宋体" w:cs="宋体"/>
                <w:b/>
                <w:color w:val="auto"/>
                <w:sz w:val="22"/>
                <w:szCs w:val="22"/>
                <w:highlight w:val="none"/>
              </w:rPr>
              <w:t>分值</w:t>
            </w:r>
          </w:p>
        </w:tc>
        <w:tc>
          <w:tcPr>
            <w:tcW w:w="5690" w:type="dxa"/>
            <w:noWrap w:val="0"/>
            <w:vAlign w:val="center"/>
          </w:tcPr>
          <w:p>
            <w:pPr>
              <w:pStyle w:val="28"/>
              <w:spacing w:line="360" w:lineRule="exact"/>
              <w:ind w:firstLine="0" w:firstLineChars="0"/>
              <w:jc w:val="center"/>
              <w:rPr>
                <w:rFonts w:hint="eastAsia" w:ascii="宋体" w:eastAsia="宋体" w:cs="宋体"/>
                <w:b/>
                <w:color w:val="auto"/>
                <w:sz w:val="22"/>
                <w:szCs w:val="22"/>
                <w:highlight w:val="none"/>
              </w:rPr>
            </w:pPr>
            <w:r>
              <w:rPr>
                <w:rFonts w:hint="eastAsia" w:ascii="宋体" w:eastAsia="宋体" w:cs="宋体"/>
                <w:b/>
                <w:color w:val="auto"/>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97" w:type="dxa"/>
            <w:gridSpan w:val="4"/>
            <w:noWrap w:val="0"/>
            <w:vAlign w:val="center"/>
          </w:tcPr>
          <w:p>
            <w:pPr>
              <w:pStyle w:val="28"/>
              <w:spacing w:line="360" w:lineRule="exact"/>
              <w:ind w:firstLine="0" w:firstLineChars="0"/>
              <w:jc w:val="center"/>
              <w:rPr>
                <w:rFonts w:hint="eastAsia" w:ascii="宋体" w:eastAsia="宋体" w:cs="宋体"/>
                <w:b/>
                <w:color w:val="auto"/>
                <w:sz w:val="22"/>
                <w:szCs w:val="22"/>
                <w:highlight w:val="none"/>
              </w:rPr>
            </w:pPr>
            <w:r>
              <w:rPr>
                <w:rFonts w:hint="eastAsia" w:ascii="宋体" w:eastAsia="宋体" w:cs="宋体"/>
                <w:b/>
                <w:color w:val="auto"/>
                <w:sz w:val="22"/>
                <w:szCs w:val="22"/>
                <w:highlight w:val="none"/>
              </w:rPr>
              <w:t>价格评分（</w:t>
            </w:r>
            <w:r>
              <w:rPr>
                <w:rFonts w:hint="eastAsia" w:ascii="宋体" w:eastAsia="宋体" w:cs="宋体"/>
                <w:b/>
                <w:color w:val="auto"/>
                <w:sz w:val="22"/>
                <w:szCs w:val="22"/>
                <w:highlight w:val="none"/>
                <w:lang w:val="en-US" w:eastAsia="zh-CN"/>
              </w:rPr>
              <w:t>3</w:t>
            </w:r>
            <w:r>
              <w:rPr>
                <w:rFonts w:hint="eastAsia" w:ascii="宋体" w:eastAsia="宋体" w:cs="宋体"/>
                <w:b/>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4" w:type="dxa"/>
            <w:noWrap w:val="0"/>
            <w:vAlign w:val="center"/>
          </w:tcPr>
          <w:p>
            <w:pPr>
              <w:pStyle w:val="28"/>
              <w:spacing w:line="360" w:lineRule="exact"/>
              <w:ind w:firstLine="0" w:firstLineChars="0"/>
              <w:jc w:val="center"/>
              <w:rPr>
                <w:rFonts w:hint="eastAsia" w:ascii="宋体" w:eastAsia="宋体" w:cs="宋体"/>
                <w:color w:val="auto"/>
                <w:sz w:val="22"/>
                <w:szCs w:val="22"/>
                <w:highlight w:val="none"/>
              </w:rPr>
            </w:pPr>
            <w:r>
              <w:rPr>
                <w:rFonts w:hint="eastAsia" w:ascii="宋体" w:eastAsia="宋体" w:cs="宋体"/>
                <w:color w:val="auto"/>
                <w:sz w:val="22"/>
                <w:szCs w:val="22"/>
                <w:highlight w:val="none"/>
              </w:rPr>
              <w:t>1</w:t>
            </w:r>
          </w:p>
        </w:tc>
        <w:tc>
          <w:tcPr>
            <w:tcW w:w="1685" w:type="dxa"/>
            <w:noWrap w:val="0"/>
            <w:vAlign w:val="center"/>
          </w:tcPr>
          <w:p>
            <w:pPr>
              <w:pStyle w:val="28"/>
              <w:spacing w:line="360" w:lineRule="exact"/>
              <w:ind w:firstLine="0" w:firstLineChars="0"/>
              <w:jc w:val="center"/>
              <w:rPr>
                <w:rFonts w:hint="eastAsia" w:ascii="宋体" w:eastAsia="宋体" w:cs="宋体"/>
                <w:color w:val="auto"/>
                <w:sz w:val="22"/>
                <w:szCs w:val="22"/>
                <w:highlight w:val="none"/>
              </w:rPr>
            </w:pPr>
            <w:r>
              <w:rPr>
                <w:rFonts w:hint="eastAsia" w:ascii="宋体" w:eastAsia="宋体" w:cs="宋体"/>
                <w:color w:val="auto"/>
                <w:sz w:val="22"/>
                <w:szCs w:val="22"/>
                <w:highlight w:val="none"/>
              </w:rPr>
              <w:t>价格</w:t>
            </w:r>
          </w:p>
        </w:tc>
        <w:tc>
          <w:tcPr>
            <w:tcW w:w="798" w:type="dxa"/>
            <w:noWrap w:val="0"/>
            <w:vAlign w:val="center"/>
          </w:tcPr>
          <w:p>
            <w:pPr>
              <w:pStyle w:val="28"/>
              <w:spacing w:line="360" w:lineRule="exact"/>
              <w:ind w:firstLine="0" w:firstLineChars="0"/>
              <w:jc w:val="center"/>
              <w:rPr>
                <w:rFonts w:hint="eastAsia" w:ascii="宋体" w:eastAsia="宋体" w:cs="宋体"/>
                <w:color w:val="auto"/>
                <w:sz w:val="22"/>
                <w:szCs w:val="22"/>
                <w:highlight w:val="none"/>
              </w:rPr>
            </w:pPr>
            <w:r>
              <w:rPr>
                <w:rFonts w:hint="eastAsia" w:ascii="宋体" w:eastAsia="宋体" w:cs="宋体"/>
                <w:color w:val="auto"/>
                <w:sz w:val="22"/>
                <w:szCs w:val="22"/>
                <w:highlight w:val="none"/>
                <w:lang w:val="en-US" w:eastAsia="zh-CN"/>
              </w:rPr>
              <w:t>3</w:t>
            </w:r>
            <w:r>
              <w:rPr>
                <w:rFonts w:hint="eastAsia" w:ascii="宋体" w:eastAsia="宋体" w:cs="宋体"/>
                <w:color w:val="auto"/>
                <w:sz w:val="22"/>
                <w:szCs w:val="22"/>
                <w:highlight w:val="none"/>
              </w:rPr>
              <w:t>0分</w:t>
            </w:r>
          </w:p>
        </w:tc>
        <w:tc>
          <w:tcPr>
            <w:tcW w:w="5690" w:type="dxa"/>
            <w:noWrap w:val="0"/>
            <w:vAlign w:val="center"/>
          </w:tcPr>
          <w:p>
            <w:pPr>
              <w:pStyle w:val="28"/>
              <w:spacing w:line="360" w:lineRule="exact"/>
              <w:ind w:left="1" w:firstLine="0" w:firstLineChars="0"/>
              <w:rPr>
                <w:rFonts w:hint="eastAsia" w:ascii="宋体" w:eastAsia="宋体" w:cs="宋体"/>
                <w:color w:val="auto"/>
                <w:sz w:val="22"/>
                <w:szCs w:val="22"/>
                <w:highlight w:val="none"/>
              </w:rPr>
            </w:pPr>
            <w:r>
              <w:rPr>
                <w:rFonts w:hint="eastAsia" w:ascii="宋体" w:eastAsia="宋体" w:cs="宋体"/>
                <w:color w:val="auto"/>
                <w:sz w:val="22"/>
                <w:szCs w:val="22"/>
                <w:highlight w:val="none"/>
              </w:rPr>
              <w:t>价格分计算方法：即满足磋商文件要求且最后报价最低的供应商的价格为磋商基准价，其价格分为满分。其他供应商的价格分统一按照下列公式计算：磋商报价得分=（磋商基准价/最后磋商报价）×</w:t>
            </w:r>
            <w:r>
              <w:rPr>
                <w:rFonts w:hint="eastAsia" w:ascii="宋体" w:eastAsia="宋体" w:cs="宋体"/>
                <w:color w:val="auto"/>
                <w:sz w:val="22"/>
                <w:szCs w:val="22"/>
                <w:highlight w:val="none"/>
                <w:lang w:val="en-US" w:eastAsia="zh-CN"/>
              </w:rPr>
              <w:t>3</w:t>
            </w:r>
            <w:r>
              <w:rPr>
                <w:rFonts w:hint="eastAsia" w:ascii="宋体" w:eastAsia="宋体" w:cs="宋体"/>
                <w:color w:val="auto"/>
                <w:sz w:val="22"/>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7" w:type="dxa"/>
            <w:gridSpan w:val="4"/>
            <w:noWrap w:val="0"/>
            <w:vAlign w:val="center"/>
          </w:tcPr>
          <w:p>
            <w:pPr>
              <w:pStyle w:val="28"/>
              <w:spacing w:line="360" w:lineRule="exact"/>
              <w:ind w:firstLine="0" w:firstLineChars="0"/>
              <w:jc w:val="center"/>
              <w:rPr>
                <w:rFonts w:hint="eastAsia" w:ascii="宋体" w:eastAsia="宋体" w:cs="宋体"/>
                <w:b/>
                <w:color w:val="auto"/>
                <w:sz w:val="22"/>
                <w:szCs w:val="22"/>
                <w:highlight w:val="none"/>
              </w:rPr>
            </w:pPr>
            <w:r>
              <w:rPr>
                <w:rFonts w:hint="eastAsia" w:ascii="宋体" w:eastAsia="宋体" w:cs="宋体"/>
                <w:b/>
                <w:color w:val="auto"/>
                <w:sz w:val="22"/>
                <w:szCs w:val="22"/>
                <w:highlight w:val="none"/>
              </w:rPr>
              <w:t>商务评分（</w:t>
            </w:r>
            <w:r>
              <w:rPr>
                <w:rFonts w:hint="eastAsia" w:ascii="宋体" w:eastAsia="宋体" w:cs="宋体"/>
                <w:b/>
                <w:color w:val="auto"/>
                <w:sz w:val="22"/>
                <w:szCs w:val="22"/>
                <w:highlight w:val="none"/>
                <w:lang w:val="en-US" w:eastAsia="zh-CN"/>
              </w:rPr>
              <w:t>2</w:t>
            </w:r>
            <w:r>
              <w:rPr>
                <w:rFonts w:ascii="宋体" w:eastAsia="宋体" w:cs="宋体"/>
                <w:b/>
                <w:color w:val="auto"/>
                <w:sz w:val="22"/>
                <w:szCs w:val="22"/>
                <w:highlight w:val="none"/>
              </w:rPr>
              <w:t>5</w:t>
            </w:r>
            <w:r>
              <w:rPr>
                <w:rFonts w:hint="eastAsia" w:ascii="宋体" w:eastAsia="宋体" w:cs="宋体"/>
                <w:b/>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pStyle w:val="28"/>
              <w:spacing w:line="360" w:lineRule="exact"/>
              <w:ind w:firstLine="0" w:firstLineChars="0"/>
              <w:jc w:val="center"/>
              <w:rPr>
                <w:rFonts w:hint="eastAsia" w:ascii="宋体" w:eastAsia="宋体" w:cs="宋体"/>
                <w:color w:val="auto"/>
                <w:sz w:val="22"/>
                <w:szCs w:val="22"/>
                <w:highlight w:val="none"/>
              </w:rPr>
            </w:pPr>
            <w:r>
              <w:rPr>
                <w:rFonts w:hint="eastAsia" w:ascii="宋体" w:eastAsia="宋体" w:cs="宋体"/>
                <w:color w:val="auto"/>
                <w:sz w:val="22"/>
                <w:szCs w:val="22"/>
                <w:highlight w:val="none"/>
              </w:rPr>
              <w:t>2</w:t>
            </w:r>
          </w:p>
        </w:tc>
        <w:tc>
          <w:tcPr>
            <w:tcW w:w="1685" w:type="dxa"/>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业绩</w:t>
            </w:r>
          </w:p>
        </w:tc>
        <w:tc>
          <w:tcPr>
            <w:tcW w:w="798" w:type="dxa"/>
            <w:noWrap w:val="0"/>
            <w:vAlign w:val="center"/>
          </w:tcPr>
          <w:p>
            <w:pPr>
              <w:spacing w:line="360" w:lineRule="exact"/>
              <w:jc w:val="center"/>
              <w:rPr>
                <w:rFonts w:ascii="宋体" w:hAnsi="宋体" w:cs="宋体"/>
                <w:color w:val="auto"/>
                <w:sz w:val="22"/>
                <w:szCs w:val="22"/>
                <w:highlight w:val="none"/>
              </w:rPr>
            </w:pPr>
            <w:r>
              <w:rPr>
                <w:rFonts w:hint="eastAsia" w:ascii="宋体" w:hAnsi="宋体" w:eastAsia="宋体" w:cs="宋体"/>
                <w:color w:val="auto"/>
                <w:sz w:val="22"/>
                <w:szCs w:val="22"/>
                <w:highlight w:val="none"/>
                <w:lang w:val="en-US" w:eastAsia="zh-CN"/>
              </w:rPr>
              <w:t>15</w:t>
            </w:r>
            <w:r>
              <w:rPr>
                <w:rFonts w:hint="eastAsia" w:ascii="宋体" w:hAnsi="宋体" w:cs="宋体"/>
                <w:color w:val="auto"/>
                <w:sz w:val="22"/>
                <w:szCs w:val="22"/>
                <w:highlight w:val="none"/>
              </w:rPr>
              <w:t>分</w:t>
            </w:r>
          </w:p>
        </w:tc>
        <w:tc>
          <w:tcPr>
            <w:tcW w:w="5690" w:type="dxa"/>
            <w:noWrap w:val="0"/>
            <w:vAlign w:val="center"/>
          </w:tcPr>
          <w:p>
            <w:pPr>
              <w:spacing w:line="360" w:lineRule="exact"/>
              <w:ind w:left="1"/>
              <w:rPr>
                <w:rFonts w:ascii="宋体" w:hAnsi="宋体" w:cs="宋体"/>
                <w:color w:val="auto"/>
                <w:sz w:val="22"/>
                <w:szCs w:val="22"/>
                <w:highlight w:val="none"/>
              </w:rPr>
            </w:pPr>
            <w:r>
              <w:rPr>
                <w:rFonts w:hint="eastAsia" w:ascii="宋体" w:hAnsi="宋体" w:cs="宋体"/>
                <w:color w:val="auto"/>
                <w:sz w:val="22"/>
                <w:szCs w:val="22"/>
                <w:highlight w:val="none"/>
              </w:rPr>
              <w:t>响应供应商自2018年至今（以合同签订之日</w:t>
            </w:r>
            <w:r>
              <w:rPr>
                <w:rFonts w:hint="eastAsia" w:ascii="宋体" w:hAnsi="宋体" w:eastAsia="宋体" w:cs="宋体"/>
                <w:color w:val="auto"/>
                <w:sz w:val="22"/>
                <w:szCs w:val="22"/>
                <w:highlight w:val="none"/>
                <w:lang w:val="en-US" w:eastAsia="zh-CN"/>
              </w:rPr>
              <w:t>或中标通知书时间</w:t>
            </w:r>
            <w:r>
              <w:rPr>
                <w:rFonts w:hint="eastAsia" w:ascii="宋体" w:hAnsi="宋体" w:cs="宋体"/>
                <w:color w:val="auto"/>
                <w:sz w:val="22"/>
                <w:szCs w:val="22"/>
                <w:highlight w:val="none"/>
              </w:rPr>
              <w:t>为准）具有电力/机电相关项目业绩的，每个得</w:t>
            </w: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rPr>
              <w:t>分，最高得</w:t>
            </w:r>
            <w:r>
              <w:rPr>
                <w:rFonts w:hint="eastAsia" w:ascii="宋体" w:hAnsi="宋体" w:eastAsia="宋体" w:cs="宋体"/>
                <w:color w:val="auto"/>
                <w:sz w:val="22"/>
                <w:szCs w:val="22"/>
                <w:highlight w:val="none"/>
                <w:lang w:val="en-US" w:eastAsia="zh-CN"/>
              </w:rPr>
              <w:t>15</w:t>
            </w:r>
            <w:r>
              <w:rPr>
                <w:rFonts w:hint="eastAsia" w:ascii="宋体" w:hAnsi="宋体" w:cs="宋体"/>
                <w:color w:val="auto"/>
                <w:sz w:val="22"/>
                <w:szCs w:val="22"/>
                <w:highlight w:val="none"/>
              </w:rPr>
              <w:t>分。</w:t>
            </w:r>
          </w:p>
          <w:p>
            <w:pPr>
              <w:spacing w:line="360" w:lineRule="exact"/>
              <w:ind w:left="1"/>
              <w:rPr>
                <w:rFonts w:ascii="宋体" w:hAnsi="宋体" w:cs="宋体"/>
                <w:color w:val="auto"/>
                <w:sz w:val="22"/>
                <w:szCs w:val="22"/>
                <w:highlight w:val="none"/>
              </w:rPr>
            </w:pPr>
            <w:r>
              <w:rPr>
                <w:rFonts w:hint="eastAsia" w:ascii="宋体" w:hAnsi="宋体" w:cs="宋体"/>
                <w:color w:val="auto"/>
                <w:sz w:val="22"/>
                <w:szCs w:val="22"/>
                <w:highlight w:val="none"/>
              </w:rPr>
              <w:t>注：同一项目不重复计分，须提供中标（成交）通知书或合同复印件加盖响应供应商公章，不清晰、未提供或无法判断的，本项不得分。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4" w:type="dxa"/>
            <w:noWrap w:val="0"/>
            <w:vAlign w:val="center"/>
          </w:tcPr>
          <w:p>
            <w:pPr>
              <w:pStyle w:val="28"/>
              <w:spacing w:line="360" w:lineRule="exact"/>
              <w:ind w:firstLine="0" w:firstLineChars="0"/>
              <w:jc w:val="center"/>
              <w:rPr>
                <w:rFonts w:hint="eastAsia" w:ascii="宋体" w:eastAsia="宋体" w:cs="宋体"/>
                <w:color w:val="auto"/>
                <w:sz w:val="22"/>
                <w:szCs w:val="22"/>
                <w:highlight w:val="none"/>
              </w:rPr>
            </w:pPr>
            <w:r>
              <w:rPr>
                <w:rFonts w:hint="eastAsia" w:ascii="宋体" w:eastAsia="宋体" w:cs="宋体"/>
                <w:color w:val="auto"/>
                <w:sz w:val="22"/>
                <w:szCs w:val="22"/>
                <w:highlight w:val="none"/>
              </w:rPr>
              <w:t>3</w:t>
            </w:r>
          </w:p>
        </w:tc>
        <w:tc>
          <w:tcPr>
            <w:tcW w:w="1685" w:type="dxa"/>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项目成员配置情况</w:t>
            </w:r>
          </w:p>
        </w:tc>
        <w:tc>
          <w:tcPr>
            <w:tcW w:w="798" w:type="dxa"/>
            <w:noWrap w:val="0"/>
            <w:vAlign w:val="center"/>
          </w:tcPr>
          <w:p>
            <w:pPr>
              <w:spacing w:line="360" w:lineRule="exact"/>
              <w:jc w:val="center"/>
              <w:rPr>
                <w:rFonts w:ascii="宋体" w:hAnsi="宋体" w:cs="宋体"/>
                <w:color w:val="auto"/>
                <w:sz w:val="22"/>
                <w:szCs w:val="22"/>
                <w:highlight w:val="none"/>
              </w:rPr>
            </w:pPr>
            <w:r>
              <w:rPr>
                <w:rFonts w:ascii="宋体" w:hAnsi="宋体" w:cs="宋体"/>
                <w:color w:val="auto"/>
                <w:sz w:val="22"/>
                <w:szCs w:val="22"/>
                <w:highlight w:val="none"/>
              </w:rPr>
              <w:t>10</w:t>
            </w:r>
            <w:r>
              <w:rPr>
                <w:rFonts w:hint="eastAsia" w:ascii="宋体" w:hAnsi="宋体" w:cs="宋体"/>
                <w:color w:val="auto"/>
                <w:sz w:val="22"/>
                <w:szCs w:val="22"/>
                <w:highlight w:val="none"/>
              </w:rPr>
              <w:t>分</w:t>
            </w:r>
          </w:p>
        </w:tc>
        <w:tc>
          <w:tcPr>
            <w:tcW w:w="5690" w:type="dxa"/>
            <w:noWrap w:val="0"/>
            <w:vAlign w:val="center"/>
          </w:tcPr>
          <w:p>
            <w:pPr>
              <w:spacing w:line="360" w:lineRule="exact"/>
              <w:ind w:left="1"/>
              <w:rPr>
                <w:rFonts w:ascii="宋体" w:hAnsi="宋体" w:cs="宋体"/>
                <w:color w:val="auto"/>
                <w:sz w:val="22"/>
                <w:szCs w:val="22"/>
                <w:highlight w:val="none"/>
              </w:rPr>
            </w:pPr>
            <w:r>
              <w:rPr>
                <w:rFonts w:ascii="宋体" w:hAnsi="宋体" w:cs="宋体"/>
                <w:color w:val="auto"/>
                <w:sz w:val="22"/>
                <w:szCs w:val="22"/>
                <w:highlight w:val="none"/>
              </w:rPr>
              <w:t>拟投入本项目团队人员具备有</w:t>
            </w:r>
            <w:r>
              <w:rPr>
                <w:rFonts w:hint="eastAsia" w:ascii="宋体" w:hAnsi="宋体" w:eastAsia="宋体" w:cs="宋体"/>
                <w:color w:val="auto"/>
                <w:sz w:val="22"/>
                <w:szCs w:val="22"/>
                <w:highlight w:val="none"/>
                <w:lang w:eastAsia="zh-CN"/>
              </w:rPr>
              <w:t>一级建造师（机电）的，</w:t>
            </w:r>
            <w:r>
              <w:rPr>
                <w:rFonts w:ascii="宋体" w:hAnsi="宋体" w:cs="宋体"/>
                <w:color w:val="auto"/>
                <w:sz w:val="22"/>
                <w:szCs w:val="22"/>
                <w:highlight w:val="none"/>
              </w:rPr>
              <w:t>每提供1个得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分，具备中级工程师的，</w:t>
            </w:r>
            <w:r>
              <w:rPr>
                <w:rFonts w:ascii="宋体" w:hAnsi="宋体" w:cs="宋体"/>
                <w:color w:val="auto"/>
                <w:sz w:val="22"/>
                <w:szCs w:val="22"/>
                <w:highlight w:val="none"/>
              </w:rPr>
              <w:t>每提供1个得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w:t>
            </w:r>
            <w:r>
              <w:rPr>
                <w:rFonts w:ascii="宋体" w:hAnsi="宋体" w:cs="宋体"/>
                <w:color w:val="auto"/>
                <w:sz w:val="22"/>
                <w:szCs w:val="22"/>
                <w:highlight w:val="none"/>
              </w:rPr>
              <w:t>具备有效的特种作业操作证，每提供1个得</w:t>
            </w:r>
            <w:r>
              <w:rPr>
                <w:rFonts w:hint="eastAsia" w:ascii="宋体" w:hAnsi="宋体" w:eastAsia="宋体" w:cs="宋体"/>
                <w:color w:val="auto"/>
                <w:sz w:val="22"/>
                <w:szCs w:val="22"/>
                <w:highlight w:val="none"/>
                <w:lang w:val="en-US" w:eastAsia="zh-CN"/>
              </w:rPr>
              <w:t>1</w:t>
            </w:r>
            <w:r>
              <w:rPr>
                <w:rFonts w:ascii="宋体" w:hAnsi="宋体" w:cs="宋体"/>
                <w:color w:val="auto"/>
                <w:sz w:val="22"/>
                <w:szCs w:val="22"/>
                <w:highlight w:val="none"/>
              </w:rPr>
              <w:t>分，本项最高得10分。</w:t>
            </w:r>
          </w:p>
          <w:p>
            <w:pPr>
              <w:spacing w:line="360" w:lineRule="exact"/>
              <w:ind w:left="1"/>
              <w:rPr>
                <w:rFonts w:hint="eastAsia" w:ascii="宋体" w:hAnsi="宋体" w:cs="宋体"/>
                <w:color w:val="auto"/>
                <w:sz w:val="22"/>
                <w:szCs w:val="22"/>
                <w:highlight w:val="none"/>
              </w:rPr>
            </w:pPr>
            <w:r>
              <w:rPr>
                <w:rFonts w:hint="eastAsia" w:ascii="宋体" w:hAnsi="宋体" w:cs="宋体"/>
                <w:color w:val="auto"/>
                <w:sz w:val="22"/>
                <w:szCs w:val="22"/>
                <w:highlight w:val="none"/>
              </w:rPr>
              <w:t>注：以上人员不重复计分，须提供相关资质证书和投标截</w:t>
            </w:r>
          </w:p>
          <w:p>
            <w:pPr>
              <w:spacing w:line="360" w:lineRule="exact"/>
              <w:rPr>
                <w:rFonts w:hint="eastAsia"/>
                <w:color w:val="auto"/>
                <w:kern w:val="0"/>
                <w:sz w:val="24"/>
                <w:highlight w:val="none"/>
              </w:rPr>
            </w:pPr>
            <w:r>
              <w:rPr>
                <w:rFonts w:hint="eastAsia" w:ascii="宋体" w:hAnsi="宋体" w:cs="宋体"/>
                <w:color w:val="auto"/>
                <w:sz w:val="22"/>
                <w:szCs w:val="22"/>
                <w:highlight w:val="none"/>
              </w:rPr>
              <w:t>止时间前三个月在响应供应商单位购买社保的证明文件复印件加盖公章。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97" w:type="dxa"/>
            <w:gridSpan w:val="4"/>
            <w:noWrap w:val="0"/>
            <w:vAlign w:val="center"/>
          </w:tcPr>
          <w:p>
            <w:pPr>
              <w:pStyle w:val="28"/>
              <w:spacing w:line="360" w:lineRule="exact"/>
              <w:ind w:firstLine="0" w:firstLineChars="0"/>
              <w:jc w:val="center"/>
              <w:rPr>
                <w:rFonts w:hint="eastAsia" w:ascii="宋体" w:eastAsia="宋体" w:cs="宋体"/>
                <w:color w:val="auto"/>
                <w:sz w:val="22"/>
                <w:szCs w:val="22"/>
                <w:highlight w:val="none"/>
              </w:rPr>
            </w:pPr>
            <w:r>
              <w:rPr>
                <w:rFonts w:hint="eastAsia" w:ascii="宋体" w:eastAsia="宋体" w:cs="宋体"/>
                <w:b/>
                <w:color w:val="auto"/>
                <w:sz w:val="22"/>
                <w:szCs w:val="22"/>
                <w:highlight w:val="none"/>
              </w:rPr>
              <w:t>技术评分（4</w:t>
            </w:r>
            <w:r>
              <w:rPr>
                <w:rFonts w:ascii="宋体" w:eastAsia="宋体" w:cs="宋体"/>
                <w:b/>
                <w:color w:val="auto"/>
                <w:sz w:val="22"/>
                <w:szCs w:val="22"/>
                <w:highlight w:val="none"/>
              </w:rPr>
              <w:t>5</w:t>
            </w:r>
            <w:r>
              <w:rPr>
                <w:rFonts w:hint="eastAsia" w:ascii="宋体" w:eastAsia="宋体" w:cs="宋体"/>
                <w:b/>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24" w:type="dxa"/>
            <w:noWrap w:val="0"/>
            <w:vAlign w:val="center"/>
          </w:tcPr>
          <w:p>
            <w:pPr>
              <w:autoSpaceDE w:val="0"/>
              <w:autoSpaceDN w:val="0"/>
              <w:adjustRightInd w:val="0"/>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p>
        </w:tc>
        <w:tc>
          <w:tcPr>
            <w:tcW w:w="1685" w:type="dxa"/>
            <w:noWrap w:val="0"/>
            <w:vAlign w:val="center"/>
          </w:tcPr>
          <w:p>
            <w:pPr>
              <w:widowControl/>
              <w:jc w:val="center"/>
              <w:rPr>
                <w:rFonts w:ascii="宋体" w:hAnsi="宋体" w:cs="宋体"/>
                <w:color w:val="auto"/>
                <w:sz w:val="22"/>
                <w:szCs w:val="22"/>
                <w:highlight w:val="none"/>
              </w:rPr>
            </w:pPr>
            <w:r>
              <w:rPr>
                <w:rFonts w:hint="eastAsia" w:ascii="宋体" w:hAnsi="宋体" w:cs="Arial"/>
                <w:color w:val="auto"/>
                <w:sz w:val="22"/>
                <w:szCs w:val="22"/>
                <w:highlight w:val="none"/>
              </w:rPr>
              <w:t>施工方案</w:t>
            </w:r>
          </w:p>
        </w:tc>
        <w:tc>
          <w:tcPr>
            <w:tcW w:w="798" w:type="dxa"/>
            <w:noWrap w:val="0"/>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10分</w:t>
            </w:r>
          </w:p>
        </w:tc>
        <w:tc>
          <w:tcPr>
            <w:tcW w:w="5690" w:type="dxa"/>
            <w:noWrap w:val="0"/>
            <w:vAlign w:val="center"/>
          </w:tcPr>
          <w:p>
            <w:pPr>
              <w:spacing w:line="360" w:lineRule="exact"/>
              <w:ind w:left="1"/>
              <w:rPr>
                <w:rFonts w:ascii="宋体" w:hAnsi="宋体" w:cs="宋体"/>
                <w:color w:val="auto"/>
                <w:sz w:val="22"/>
                <w:szCs w:val="22"/>
                <w:highlight w:val="none"/>
              </w:rPr>
            </w:pPr>
            <w:r>
              <w:rPr>
                <w:rFonts w:hint="eastAsia" w:ascii="宋体" w:hAnsi="宋体" w:cs="宋体"/>
                <w:color w:val="auto"/>
                <w:sz w:val="22"/>
                <w:szCs w:val="22"/>
                <w:highlight w:val="none"/>
              </w:rPr>
              <w:t>根据响应供应商对本项目制定的施工方案进行评审：</w:t>
            </w:r>
          </w:p>
          <w:p>
            <w:pPr>
              <w:spacing w:line="360" w:lineRule="exact"/>
              <w:ind w:left="1"/>
              <w:rPr>
                <w:rFonts w:ascii="宋体" w:hAnsi="宋体" w:cs="宋体"/>
                <w:color w:val="auto"/>
                <w:sz w:val="22"/>
                <w:szCs w:val="22"/>
                <w:highlight w:val="none"/>
              </w:rPr>
            </w:pPr>
            <w:r>
              <w:rPr>
                <w:rFonts w:hint="eastAsia" w:ascii="宋体" w:hAnsi="宋体" w:cs="宋体"/>
                <w:color w:val="auto"/>
                <w:sz w:val="22"/>
                <w:szCs w:val="22"/>
                <w:highlight w:val="none"/>
              </w:rPr>
              <w:t>（1）施工方案严谨可行，技术先进，施工流程划分清晰、合理，符合规范，得10分；</w:t>
            </w:r>
          </w:p>
          <w:p>
            <w:pPr>
              <w:spacing w:line="360" w:lineRule="exact"/>
              <w:ind w:left="1"/>
              <w:rPr>
                <w:rFonts w:ascii="宋体" w:hAnsi="宋体" w:cs="宋体"/>
                <w:color w:val="auto"/>
                <w:sz w:val="22"/>
                <w:szCs w:val="22"/>
                <w:highlight w:val="none"/>
              </w:rPr>
            </w:pPr>
            <w:r>
              <w:rPr>
                <w:rFonts w:hint="eastAsia" w:ascii="宋体" w:hAnsi="宋体" w:cs="宋体"/>
                <w:color w:val="auto"/>
                <w:sz w:val="22"/>
                <w:szCs w:val="22"/>
                <w:highlight w:val="none"/>
              </w:rPr>
              <w:t>（2）施工方案较严谨可行，技术较先进，施工流程划分较清晰、较合理，符合规范，得6分；</w:t>
            </w:r>
          </w:p>
          <w:p>
            <w:pPr>
              <w:spacing w:line="360" w:lineRule="exact"/>
              <w:ind w:left="1"/>
              <w:rPr>
                <w:rFonts w:ascii="宋体" w:hAnsi="宋体" w:cs="宋体"/>
                <w:color w:val="auto"/>
                <w:sz w:val="22"/>
                <w:szCs w:val="22"/>
                <w:highlight w:val="none"/>
              </w:rPr>
            </w:pPr>
            <w:r>
              <w:rPr>
                <w:rFonts w:hint="eastAsia" w:ascii="宋体" w:hAnsi="宋体" w:cs="宋体"/>
                <w:color w:val="auto"/>
                <w:sz w:val="22"/>
                <w:szCs w:val="22"/>
                <w:highlight w:val="none"/>
              </w:rPr>
              <w:t>（3）施工方案可行性一般，技术一般，施工流程划分合理性一般，基本符合规范，得2分；</w:t>
            </w:r>
          </w:p>
          <w:p>
            <w:pPr>
              <w:spacing w:line="360" w:lineRule="exact"/>
              <w:ind w:left="1"/>
              <w:rPr>
                <w:rFonts w:ascii="宋体" w:hAnsi="宋体" w:cs="宋体"/>
                <w:color w:val="auto"/>
                <w:sz w:val="22"/>
                <w:szCs w:val="22"/>
                <w:highlight w:val="none"/>
              </w:rPr>
            </w:pPr>
            <w:r>
              <w:rPr>
                <w:rFonts w:hint="eastAsia" w:ascii="宋体" w:hAnsi="宋体" w:cs="宋体"/>
                <w:color w:val="auto"/>
                <w:sz w:val="22"/>
                <w:szCs w:val="22"/>
                <w:highlight w:val="none"/>
              </w:rPr>
              <w:t>（4）施工方案可行性差，技术差，施工流程划分合理性差，基本符合规范，得1分。</w:t>
            </w:r>
          </w:p>
          <w:p>
            <w:pPr>
              <w:spacing w:line="360" w:lineRule="exact"/>
              <w:ind w:left="1"/>
              <w:rPr>
                <w:rFonts w:ascii="宋体" w:hAnsi="宋体" w:cs="宋体"/>
                <w:color w:val="auto"/>
                <w:sz w:val="22"/>
                <w:szCs w:val="22"/>
                <w:highlight w:val="none"/>
              </w:rPr>
            </w:pPr>
            <w:r>
              <w:rPr>
                <w:rFonts w:hint="eastAsia" w:ascii="宋体" w:hAnsi="宋体" w:cs="宋体"/>
                <w:color w:val="auto"/>
                <w:sz w:val="22"/>
                <w:szCs w:val="22"/>
                <w:highlight w:val="none"/>
              </w:rPr>
              <w:t>注：未提供或者提供的方案不符合评审因素要求的不得分。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24" w:type="dxa"/>
            <w:noWrap w:val="0"/>
            <w:vAlign w:val="center"/>
          </w:tcPr>
          <w:p>
            <w:pPr>
              <w:autoSpaceDE w:val="0"/>
              <w:autoSpaceDN w:val="0"/>
              <w:adjustRightInd w:val="0"/>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c>
          <w:tcPr>
            <w:tcW w:w="1685" w:type="dxa"/>
            <w:noWrap w:val="0"/>
            <w:vAlign w:val="center"/>
          </w:tcPr>
          <w:p>
            <w:pPr>
              <w:widowControl/>
              <w:jc w:val="center"/>
              <w:rPr>
                <w:rFonts w:ascii="宋体" w:hAnsi="宋体" w:cs="宋体"/>
                <w:color w:val="auto"/>
                <w:sz w:val="22"/>
                <w:szCs w:val="22"/>
                <w:highlight w:val="none"/>
              </w:rPr>
            </w:pPr>
            <w:r>
              <w:rPr>
                <w:rFonts w:hint="eastAsia" w:ascii="宋体" w:hAnsi="宋体" w:cs="Arial"/>
                <w:color w:val="auto"/>
                <w:sz w:val="22"/>
                <w:szCs w:val="22"/>
                <w:highlight w:val="none"/>
              </w:rPr>
              <w:t>施工进度计划</w:t>
            </w:r>
          </w:p>
        </w:tc>
        <w:tc>
          <w:tcPr>
            <w:tcW w:w="798" w:type="dxa"/>
            <w:noWrap w:val="0"/>
            <w:vAlign w:val="center"/>
          </w:tcPr>
          <w:p>
            <w:pPr>
              <w:jc w:val="center"/>
              <w:rPr>
                <w:rFonts w:ascii="宋体" w:hAnsi="宋体" w:cs="宋体"/>
                <w:bCs/>
                <w:color w:val="auto"/>
                <w:sz w:val="22"/>
                <w:szCs w:val="22"/>
                <w:highlight w:val="none"/>
              </w:rPr>
            </w:pPr>
            <w:r>
              <w:rPr>
                <w:rFonts w:ascii="宋体" w:hAnsi="宋体" w:cs="宋体"/>
                <w:bCs/>
                <w:color w:val="auto"/>
                <w:sz w:val="22"/>
                <w:szCs w:val="22"/>
                <w:highlight w:val="none"/>
              </w:rPr>
              <w:t>10</w:t>
            </w:r>
            <w:r>
              <w:rPr>
                <w:rFonts w:hint="eastAsia" w:ascii="宋体" w:hAnsi="宋体" w:cs="宋体"/>
                <w:bCs/>
                <w:color w:val="auto"/>
                <w:sz w:val="22"/>
                <w:szCs w:val="22"/>
                <w:highlight w:val="none"/>
              </w:rPr>
              <w:t>分</w:t>
            </w:r>
          </w:p>
        </w:tc>
        <w:tc>
          <w:tcPr>
            <w:tcW w:w="5690" w:type="dxa"/>
            <w:noWrap w:val="0"/>
            <w:vAlign w:val="center"/>
          </w:tcPr>
          <w:p>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根据响应供应商对本项目制定的施工进度计划（包括工期计划安排和保障措施等）进行评审：</w:t>
            </w:r>
          </w:p>
          <w:p>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（1）工期计划安排优于采购要求，关键节点控制和保障措施合理可行，得10分；</w:t>
            </w:r>
          </w:p>
          <w:p>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（2）工期计划安排优于采购要求，关键节点控制和保障措施可行，得6分；</w:t>
            </w:r>
          </w:p>
          <w:p>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（3）工期计划安排满足采购要求，关键节点控制和保障措施可行性一般，得2分；</w:t>
            </w:r>
          </w:p>
          <w:p>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（4）工期计划安排不满足采购要求，关键节点控制和保障措施不可行，得1分。</w:t>
            </w:r>
          </w:p>
          <w:p>
            <w:pPr>
              <w:spacing w:line="360" w:lineRule="exact"/>
              <w:jc w:val="left"/>
              <w:rPr>
                <w:rFonts w:ascii="仿宋_GB2312" w:hAnsi="宋体" w:eastAsia="仿宋_GB2312"/>
                <w:color w:val="auto"/>
                <w:sz w:val="22"/>
                <w:szCs w:val="22"/>
                <w:highlight w:val="none"/>
              </w:rPr>
            </w:pPr>
            <w:r>
              <w:rPr>
                <w:rFonts w:hint="eastAsia" w:ascii="宋体" w:hAnsi="宋体" w:cs="宋体"/>
                <w:color w:val="auto"/>
                <w:sz w:val="22"/>
                <w:szCs w:val="22"/>
                <w:highlight w:val="none"/>
              </w:rPr>
              <w:t>注：未提供或者提供的方案不符合评审因素要求的不得分。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24" w:type="dxa"/>
            <w:noWrap w:val="0"/>
            <w:vAlign w:val="center"/>
          </w:tcPr>
          <w:p>
            <w:pPr>
              <w:autoSpaceDE w:val="0"/>
              <w:autoSpaceDN w:val="0"/>
              <w:adjustRightInd w:val="0"/>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p>
        </w:tc>
        <w:tc>
          <w:tcPr>
            <w:tcW w:w="1685" w:type="dxa"/>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质量保证措施工及承诺</w:t>
            </w:r>
          </w:p>
        </w:tc>
        <w:tc>
          <w:tcPr>
            <w:tcW w:w="798" w:type="dxa"/>
            <w:noWrap w:val="0"/>
            <w:vAlign w:val="center"/>
          </w:tcPr>
          <w:p>
            <w:pPr>
              <w:jc w:val="center"/>
              <w:rPr>
                <w:rFonts w:ascii="宋体" w:hAnsi="宋体" w:cs="宋体"/>
                <w:bCs/>
                <w:color w:val="auto"/>
                <w:sz w:val="22"/>
                <w:szCs w:val="22"/>
                <w:highlight w:val="none"/>
              </w:rPr>
            </w:pPr>
            <w:r>
              <w:rPr>
                <w:rFonts w:ascii="宋体" w:hAnsi="宋体" w:cs="宋体"/>
                <w:bCs/>
                <w:color w:val="auto"/>
                <w:sz w:val="22"/>
                <w:szCs w:val="22"/>
                <w:highlight w:val="none"/>
              </w:rPr>
              <w:t>10</w:t>
            </w:r>
            <w:r>
              <w:rPr>
                <w:rFonts w:hint="eastAsia" w:ascii="宋体" w:hAnsi="宋体" w:cs="宋体"/>
                <w:bCs/>
                <w:color w:val="auto"/>
                <w:sz w:val="22"/>
                <w:szCs w:val="22"/>
                <w:highlight w:val="none"/>
              </w:rPr>
              <w:t>分</w:t>
            </w:r>
          </w:p>
        </w:tc>
        <w:tc>
          <w:tcPr>
            <w:tcW w:w="5690" w:type="dxa"/>
            <w:noWrap w:val="0"/>
            <w:vAlign w:val="center"/>
          </w:tcPr>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根据响应供应商对本项目制定的质量保障措施（包括工程技术管理、施工管理、材料质量管理等）进行评审：</w:t>
            </w:r>
          </w:p>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（1）技术和施工控制措施完善、合理可行，材料采购过程控制及检验措施针对性强的，得10分；</w:t>
            </w:r>
          </w:p>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（2）技术和施工控制措施较完善、较可行，材料采购过程控制及检验措施针对性较强，得6分；</w:t>
            </w:r>
          </w:p>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（3）技术和施工控制措施可行性一般，材料采购过程控制及检验措施针对性一般，得2分；</w:t>
            </w:r>
          </w:p>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（4）技术和施工控制措施不完善，材料采购过程控制及检验措施针对性差，得1分。</w:t>
            </w:r>
          </w:p>
          <w:p>
            <w:pPr>
              <w:spacing w:line="360" w:lineRule="exact"/>
              <w:ind w:left="1" w:hanging="1"/>
              <w:rPr>
                <w:rFonts w:hint="eastAsia" w:ascii="宋体" w:hAnsi="宋体" w:cs="宋体"/>
                <w:color w:val="auto"/>
                <w:sz w:val="22"/>
                <w:szCs w:val="22"/>
                <w:highlight w:val="none"/>
              </w:rPr>
            </w:pPr>
            <w:r>
              <w:rPr>
                <w:rFonts w:hint="eastAsia" w:ascii="宋体" w:hAnsi="宋体" w:cs="宋体"/>
                <w:color w:val="auto"/>
                <w:sz w:val="22"/>
                <w:szCs w:val="22"/>
                <w:highlight w:val="none"/>
              </w:rPr>
              <w:t>注：未提供或者提供的方案不符合评审因素要求的不得分。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24" w:type="dxa"/>
            <w:noWrap w:val="0"/>
            <w:vAlign w:val="center"/>
          </w:tcPr>
          <w:p>
            <w:pPr>
              <w:autoSpaceDE w:val="0"/>
              <w:autoSpaceDN w:val="0"/>
              <w:adjustRightInd w:val="0"/>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p>
        </w:tc>
        <w:tc>
          <w:tcPr>
            <w:tcW w:w="1685" w:type="dxa"/>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安全文明施工保证措施</w:t>
            </w:r>
          </w:p>
        </w:tc>
        <w:tc>
          <w:tcPr>
            <w:tcW w:w="798" w:type="dxa"/>
            <w:noWrap w:val="0"/>
            <w:vAlign w:val="center"/>
          </w:tcPr>
          <w:p>
            <w:pPr>
              <w:jc w:val="center"/>
              <w:rPr>
                <w:rFonts w:ascii="宋体" w:hAnsi="宋体" w:cs="宋体"/>
                <w:bCs/>
                <w:color w:val="auto"/>
                <w:sz w:val="22"/>
                <w:szCs w:val="22"/>
                <w:highlight w:val="none"/>
              </w:rPr>
            </w:pPr>
            <w:r>
              <w:rPr>
                <w:rFonts w:ascii="宋体" w:hAnsi="宋体" w:cs="宋体"/>
                <w:bCs/>
                <w:color w:val="auto"/>
                <w:sz w:val="22"/>
                <w:szCs w:val="22"/>
                <w:highlight w:val="none"/>
              </w:rPr>
              <w:t>10</w:t>
            </w:r>
            <w:r>
              <w:rPr>
                <w:rFonts w:hint="eastAsia" w:ascii="宋体" w:hAnsi="宋体" w:cs="宋体"/>
                <w:bCs/>
                <w:color w:val="auto"/>
                <w:sz w:val="22"/>
                <w:szCs w:val="22"/>
                <w:highlight w:val="none"/>
              </w:rPr>
              <w:t>分</w:t>
            </w:r>
          </w:p>
        </w:tc>
        <w:tc>
          <w:tcPr>
            <w:tcW w:w="5690" w:type="dxa"/>
            <w:noWrap w:val="0"/>
            <w:vAlign w:val="center"/>
          </w:tcPr>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根据响应供应商对本项目制定的安全文明施工保证措施（包括在施工的各个环节管理制度和操作规程、现场管控等）进行评审：</w:t>
            </w:r>
          </w:p>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（1）安全文明施工保证措施完善、合理可行，职责分明，工程安全防护方案符合国家规定，得10分；</w:t>
            </w:r>
          </w:p>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（2）安全文明施工保证措施较完善、较可行，职责较分明，工程安全防护方案符合国家规定，得6分；</w:t>
            </w:r>
          </w:p>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（3）安全文明施工保证措施可行性一般，职责分工混乱，工程安全防护方案基本符合国家规定，得2分；</w:t>
            </w:r>
          </w:p>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（4）安全文明施工保证措施不可行，职责分工混乱，工程安全防护方案不符合国家规定，得1分。</w:t>
            </w:r>
          </w:p>
          <w:p>
            <w:pPr>
              <w:spacing w:line="360" w:lineRule="exact"/>
              <w:ind w:left="1" w:hanging="1"/>
              <w:rPr>
                <w:rFonts w:ascii="宋体" w:hAnsi="宋体" w:eastAsia="仿宋_GB2312" w:cs="宋体"/>
                <w:color w:val="auto"/>
                <w:sz w:val="22"/>
                <w:szCs w:val="22"/>
                <w:highlight w:val="none"/>
              </w:rPr>
            </w:pPr>
            <w:r>
              <w:rPr>
                <w:rFonts w:hint="eastAsia" w:ascii="宋体" w:hAnsi="宋体" w:cs="宋体"/>
                <w:color w:val="auto"/>
                <w:sz w:val="22"/>
                <w:szCs w:val="22"/>
                <w:highlight w:val="none"/>
              </w:rPr>
              <w:t>注：未提供或者提供的方案不符合评审因素要求的不得分。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24" w:type="dxa"/>
            <w:noWrap w:val="0"/>
            <w:vAlign w:val="center"/>
          </w:tcPr>
          <w:p>
            <w:pPr>
              <w:autoSpaceDE w:val="0"/>
              <w:autoSpaceDN w:val="0"/>
              <w:adjustRightInd w:val="0"/>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8</w:t>
            </w:r>
          </w:p>
        </w:tc>
        <w:tc>
          <w:tcPr>
            <w:tcW w:w="1685" w:type="dxa"/>
            <w:noWrap w:val="0"/>
            <w:vAlign w:val="center"/>
          </w:tcPr>
          <w:p>
            <w:pPr>
              <w:widowControl/>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应急方案</w:t>
            </w:r>
          </w:p>
        </w:tc>
        <w:tc>
          <w:tcPr>
            <w:tcW w:w="798" w:type="dxa"/>
            <w:noWrap w:val="0"/>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5分</w:t>
            </w:r>
          </w:p>
        </w:tc>
        <w:tc>
          <w:tcPr>
            <w:tcW w:w="5690" w:type="dxa"/>
            <w:noWrap w:val="0"/>
            <w:vAlign w:val="center"/>
          </w:tcPr>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根据各响应供应商的突发事件的处理措施、应急预案进行综合评审：</w:t>
            </w:r>
          </w:p>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（1）措施和方案完善合理性强的，保障到位的，可行性强的，得5分；</w:t>
            </w:r>
          </w:p>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（2）措施和方案较合理，保障性、可行性比较到位的，得3分；</w:t>
            </w:r>
          </w:p>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（3）措施和方案基本合理，但保障性、可行性一般的，得2分；</w:t>
            </w:r>
          </w:p>
          <w:p>
            <w:pPr>
              <w:spacing w:line="360" w:lineRule="exact"/>
              <w:ind w:left="1" w:hanging="1"/>
              <w:rPr>
                <w:rFonts w:ascii="宋体" w:hAnsi="宋体" w:cs="宋体"/>
                <w:color w:val="auto"/>
                <w:sz w:val="22"/>
                <w:szCs w:val="22"/>
                <w:highlight w:val="none"/>
              </w:rPr>
            </w:pPr>
            <w:r>
              <w:rPr>
                <w:rFonts w:hint="eastAsia" w:ascii="宋体" w:hAnsi="宋体" w:cs="宋体"/>
                <w:color w:val="auto"/>
                <w:sz w:val="22"/>
                <w:szCs w:val="22"/>
                <w:highlight w:val="none"/>
              </w:rPr>
              <w:t>（4）措施和方案不合理，保障性、可行性较差的，得1分；</w:t>
            </w:r>
          </w:p>
          <w:p>
            <w:pPr>
              <w:spacing w:line="360" w:lineRule="exact"/>
              <w:ind w:left="1" w:hanging="1"/>
              <w:rPr>
                <w:rFonts w:hint="eastAsia" w:ascii="宋体" w:hAnsi="宋体" w:cs="宋体"/>
                <w:color w:val="auto"/>
                <w:sz w:val="22"/>
                <w:szCs w:val="22"/>
                <w:highlight w:val="none"/>
              </w:rPr>
            </w:pPr>
            <w:r>
              <w:rPr>
                <w:rFonts w:hint="eastAsia" w:ascii="宋体" w:hAnsi="宋体" w:cs="宋体"/>
                <w:color w:val="auto"/>
                <w:sz w:val="22"/>
                <w:szCs w:val="22"/>
                <w:highlight w:val="none"/>
              </w:rPr>
              <w:t>注：未提供或者提供的方案不符合评审因素要求的不得分。</w:t>
            </w:r>
          </w:p>
        </w:tc>
      </w:tr>
    </w:tbl>
    <w:p>
      <w:pPr>
        <w:pStyle w:val="11"/>
        <w:rPr>
          <w:rFonts w:hint="eastAsia"/>
          <w:color w:val="auto"/>
          <w:highlight w:val="none"/>
          <w:lang w:eastAsia="zh-CN"/>
        </w:rPr>
      </w:pPr>
    </w:p>
    <w:p>
      <w:pPr>
        <w:spacing w:line="225" w:lineRule="exact"/>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108" w:name="_Toc16347"/>
      <w:bookmarkStart w:id="109" w:name="_Toc8548"/>
      <w:r>
        <w:rPr>
          <w:rFonts w:hint="eastAsia" w:ascii="宋体" w:hAnsi="宋体" w:eastAsia="宋体" w:cs="宋体"/>
          <w:color w:val="auto"/>
          <w:highlight w:val="none"/>
        </w:rPr>
        <w:t>6.汇总、排序</w:t>
      </w:r>
      <w:bookmarkEnd w:id="108"/>
      <w:bookmarkEnd w:id="10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采购包1：</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110" w:name="_Toc8225"/>
      <w:bookmarkStart w:id="111" w:name="_Toc18944"/>
      <w:r>
        <w:rPr>
          <w:rFonts w:hint="eastAsia" w:ascii="宋体" w:hAnsi="宋体" w:eastAsia="宋体" w:cs="宋体"/>
          <w:color w:val="auto"/>
          <w:highlight w:val="none"/>
        </w:rPr>
        <w:t>7.其他无效响应的情形：</w:t>
      </w:r>
      <w:bookmarkEnd w:id="110"/>
      <w:bookmarkEnd w:id="11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（1）评审期间，供应商没有按磋商小组的要求提交法定代表人或其委托代理人签字的澄清、说明、补正或改变了响应文件的实质性内容的。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（2）响应文件提供虚假材料的。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（3）供应商以他人名义响应、串通响应、以行贿手段谋取成交或者以其他弄虚作假方式响应的。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（4）供应商对采购人、采购代理机构、磋商小组及其工作人员施加影响，有碍招标公平、公正的。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（5）响应文件含有采购人不能接受的附加条件的。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（6）法律、法规和磋商文件规定的其他无效情形。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bidi w:val="0"/>
        <w:outlineLvl w:val="0"/>
        <w:rPr>
          <w:rFonts w:hint="eastAsia" w:ascii="宋体" w:hAnsi="宋体" w:eastAsia="宋体" w:cs="宋体"/>
          <w:color w:val="auto"/>
          <w:sz w:val="28"/>
          <w:szCs w:val="28"/>
          <w:highlight w:val="none"/>
        </w:rPr>
      </w:pPr>
      <w:bookmarkStart w:id="112" w:name="_Toc17459"/>
      <w:r>
        <w:rPr>
          <w:rFonts w:hint="eastAsia" w:ascii="宋体" w:hAnsi="宋体" w:eastAsia="宋体" w:cs="宋体"/>
          <w:color w:val="auto"/>
          <w:sz w:val="28"/>
          <w:szCs w:val="28"/>
          <w:highlight w:val="none"/>
        </w:rPr>
        <w:t>第五章合同文本</w:t>
      </w:r>
      <w:bookmarkEnd w:id="112"/>
    </w:p>
    <w:p>
      <w:pPr>
        <w:spacing w:line="245" w:lineRule="auto"/>
        <w:rPr>
          <w:rFonts w:hint="eastAsia" w:ascii="宋体" w:hAnsi="宋体" w:eastAsia="宋体" w:cs="宋体"/>
          <w:color w:val="auto"/>
          <w:sz w:val="21"/>
          <w:highlight w:val="none"/>
        </w:rPr>
      </w:pPr>
    </w:p>
    <w:p>
      <w:pPr>
        <w:spacing w:before="124" w:line="221" w:lineRule="auto"/>
        <w:ind w:left="3179"/>
        <w:rPr>
          <w:rFonts w:ascii="宋体" w:hAnsi="宋体" w:eastAsia="宋体" w:cs="宋体"/>
          <w:color w:val="auto"/>
          <w:spacing w:val="10"/>
          <w:sz w:val="38"/>
          <w:szCs w:val="38"/>
          <w:highlight w:val="none"/>
        </w:rPr>
      </w:pPr>
    </w:p>
    <w:p>
      <w:pPr>
        <w:spacing w:before="124" w:line="221" w:lineRule="auto"/>
        <w:ind w:left="3179"/>
        <w:rPr>
          <w:rFonts w:ascii="宋体" w:hAnsi="宋体" w:eastAsia="宋体" w:cs="宋体"/>
          <w:color w:val="auto"/>
          <w:sz w:val="38"/>
          <w:szCs w:val="38"/>
          <w:highlight w:val="none"/>
        </w:rPr>
      </w:pPr>
      <w:r>
        <w:rPr>
          <w:rFonts w:ascii="宋体" w:hAnsi="宋体" w:eastAsia="宋体" w:cs="宋体"/>
          <w:color w:val="auto"/>
          <w:spacing w:val="10"/>
          <w:sz w:val="38"/>
          <w:szCs w:val="38"/>
          <w:highlight w:val="none"/>
        </w:rPr>
        <w:t>合  同  书</w:t>
      </w: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72" w:line="225" w:lineRule="auto"/>
        <w:ind w:left="1169"/>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采</w:t>
      </w:r>
      <w:r>
        <w:rPr>
          <w:rFonts w:ascii="宋体" w:hAnsi="宋体" w:eastAsia="宋体" w:cs="宋体"/>
          <w:color w:val="auto"/>
          <w:spacing w:val="5"/>
          <w:sz w:val="22"/>
          <w:szCs w:val="22"/>
          <w:highlight w:val="none"/>
        </w:rPr>
        <w:t>购计划编号：</w:t>
      </w:r>
      <w:r>
        <w:rPr>
          <w:rFonts w:ascii="宋体" w:hAnsi="宋体" w:eastAsia="宋体" w:cs="宋体"/>
          <w:color w:val="auto"/>
          <w:sz w:val="22"/>
          <w:szCs w:val="22"/>
          <w:highlight w:val="none"/>
          <w:u w:val="single" w:color="auto"/>
        </w:rPr>
        <w:t xml:space="preserve">                               </w:t>
      </w:r>
    </w:p>
    <w:p>
      <w:pPr>
        <w:spacing w:line="266" w:lineRule="auto"/>
        <w:rPr>
          <w:rFonts w:ascii="Arial"/>
          <w:color w:val="auto"/>
          <w:sz w:val="21"/>
          <w:highlight w:val="none"/>
        </w:rPr>
      </w:pPr>
    </w:p>
    <w:p>
      <w:pPr>
        <w:spacing w:line="267" w:lineRule="auto"/>
        <w:rPr>
          <w:rFonts w:ascii="Arial"/>
          <w:color w:val="auto"/>
          <w:sz w:val="21"/>
          <w:highlight w:val="none"/>
        </w:rPr>
      </w:pPr>
    </w:p>
    <w:p>
      <w:pPr>
        <w:spacing w:before="72" w:line="226" w:lineRule="auto"/>
        <w:ind w:left="1174"/>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项</w:t>
      </w:r>
      <w:r>
        <w:rPr>
          <w:rFonts w:ascii="宋体" w:hAnsi="宋体" w:eastAsia="宋体" w:cs="宋体"/>
          <w:color w:val="auto"/>
          <w:spacing w:val="3"/>
          <w:sz w:val="22"/>
          <w:szCs w:val="22"/>
          <w:highlight w:val="none"/>
        </w:rPr>
        <w:t>目编号：</w:t>
      </w:r>
      <w:r>
        <w:rPr>
          <w:rFonts w:ascii="宋体" w:hAnsi="宋体" w:eastAsia="宋体" w:cs="宋体"/>
          <w:color w:val="auto"/>
          <w:sz w:val="22"/>
          <w:szCs w:val="22"/>
          <w:highlight w:val="none"/>
          <w:u w:val="single" w:color="auto"/>
        </w:rPr>
        <w:t xml:space="preserve">                                    </w:t>
      </w:r>
    </w:p>
    <w:p>
      <w:pPr>
        <w:spacing w:line="266" w:lineRule="auto"/>
        <w:rPr>
          <w:rFonts w:ascii="Arial"/>
          <w:color w:val="auto"/>
          <w:sz w:val="21"/>
          <w:highlight w:val="none"/>
        </w:rPr>
      </w:pPr>
    </w:p>
    <w:p>
      <w:pPr>
        <w:spacing w:line="266" w:lineRule="auto"/>
        <w:rPr>
          <w:rFonts w:ascii="Arial"/>
          <w:color w:val="auto"/>
          <w:sz w:val="21"/>
          <w:highlight w:val="none"/>
        </w:rPr>
      </w:pPr>
    </w:p>
    <w:p>
      <w:pPr>
        <w:spacing w:before="71" w:line="226" w:lineRule="auto"/>
        <w:ind w:left="1174"/>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项</w:t>
      </w:r>
      <w:r>
        <w:rPr>
          <w:rFonts w:ascii="宋体" w:hAnsi="宋体" w:eastAsia="宋体" w:cs="宋体"/>
          <w:color w:val="auto"/>
          <w:spacing w:val="3"/>
          <w:sz w:val="22"/>
          <w:szCs w:val="22"/>
          <w:highlight w:val="none"/>
        </w:rPr>
        <w:t>目名称：</w:t>
      </w:r>
      <w:r>
        <w:rPr>
          <w:rFonts w:ascii="宋体" w:hAnsi="宋体" w:eastAsia="宋体" w:cs="宋体"/>
          <w:color w:val="auto"/>
          <w:sz w:val="22"/>
          <w:szCs w:val="22"/>
          <w:highlight w:val="none"/>
          <w:u w:val="single" w:color="auto"/>
        </w:rPr>
        <w:t xml:space="preserve">                                   </w:t>
      </w: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ind w:left="0" w:leftChars="0" w:firstLine="0" w:firstLineChars="0"/>
        <w:rPr>
          <w:rFonts w:ascii="Arial"/>
          <w:color w:val="auto"/>
          <w:sz w:val="21"/>
          <w:highlight w:val="none"/>
        </w:rPr>
      </w:pPr>
    </w:p>
    <w:p>
      <w:pPr>
        <w:pStyle w:val="11"/>
        <w:rPr>
          <w:rFonts w:ascii="Arial"/>
          <w:color w:val="auto"/>
          <w:sz w:val="21"/>
          <w:highlight w:val="none"/>
        </w:rPr>
      </w:pPr>
    </w:p>
    <w:p>
      <w:pPr>
        <w:rPr>
          <w:rFonts w:ascii="Arial"/>
          <w:color w:val="auto"/>
          <w:sz w:val="21"/>
          <w:highlight w:val="none"/>
        </w:rPr>
      </w:pPr>
      <w:r>
        <w:rPr>
          <w:rFonts w:ascii="Arial"/>
          <w:color w:val="auto"/>
          <w:sz w:val="21"/>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项目的采购结果，按照《中华人民共和国政府采购法》，《中华人民共和国民法典》的规定，经双方协商，本着平等互利和诚实信用的原则，一致同意遵守本合同如下。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合同金额为(大写)：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元)人民币。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甲方聘请乙方提供以下服务：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三、甲方乙方的权利和义务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1.甲方的权利和义务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2.乙方的权利和义务</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四、服务期间(项目完成期限)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1.委托服务期间自______年______月至______年______月止。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五、付款方式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由甲方按下列程序在内付款：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支付比例30%，合同签订后7个工作日内</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支付合同总价30%（</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rPr>
        <w:t>元</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的预付款</w:t>
      </w:r>
      <w:r>
        <w:rPr>
          <w:rFonts w:hint="eastAsia" w:ascii="宋体" w:hAnsi="宋体" w:eastAsia="宋体" w:cs="宋体"/>
          <w:color w:val="auto"/>
          <w:sz w:val="21"/>
          <w:szCs w:val="21"/>
          <w:highlight w:val="none"/>
        </w:rPr>
        <w:t>给乙方。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支付比例60%，项目完工后7个工作日内</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支付合同总价60%（</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rPr>
        <w:t>元</w:t>
      </w:r>
      <w:r>
        <w:rPr>
          <w:rFonts w:hint="eastAsia" w:ascii="宋体" w:hAnsi="宋体" w:eastAsia="宋体" w:cs="宋体"/>
          <w:color w:val="auto"/>
          <w:sz w:val="21"/>
          <w:szCs w:val="21"/>
          <w:highlight w:val="none"/>
          <w:u w:val="none"/>
          <w:lang w:val="en-US" w:eastAsia="zh-CN"/>
        </w:rPr>
        <w:t>）的</w:t>
      </w:r>
      <w:r>
        <w:rPr>
          <w:rFonts w:hint="eastAsia" w:ascii="宋体" w:hAnsi="宋体" w:eastAsia="宋体" w:cs="宋体"/>
          <w:color w:val="auto"/>
          <w:sz w:val="21"/>
          <w:szCs w:val="21"/>
          <w:highlight w:val="none"/>
          <w:lang w:val="en-US" w:eastAsia="zh-CN"/>
        </w:rPr>
        <w:t>到货款</w:t>
      </w:r>
      <w:r>
        <w:rPr>
          <w:rFonts w:hint="eastAsia" w:ascii="宋体" w:hAnsi="宋体" w:eastAsia="宋体" w:cs="宋体"/>
          <w:color w:val="auto"/>
          <w:sz w:val="21"/>
          <w:szCs w:val="21"/>
          <w:highlight w:val="none"/>
        </w:rPr>
        <w:t>给乙方</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支付比例10%，安装调试验收合格后7个工作日支付合同总价7%（</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rPr>
        <w:t>元</w:t>
      </w:r>
      <w:r>
        <w:rPr>
          <w:rFonts w:hint="eastAsia" w:ascii="宋体" w:hAnsi="宋体" w:eastAsia="宋体" w:cs="宋体"/>
          <w:color w:val="auto"/>
          <w:sz w:val="21"/>
          <w:szCs w:val="21"/>
          <w:highlight w:val="none"/>
          <w:u w:val="none"/>
          <w:lang w:val="en-US" w:eastAsia="zh-CN"/>
        </w:rPr>
        <w:t>）的</w:t>
      </w:r>
      <w:r>
        <w:rPr>
          <w:rFonts w:hint="eastAsia" w:ascii="宋体" w:hAnsi="宋体" w:eastAsia="宋体" w:cs="宋体"/>
          <w:color w:val="auto"/>
          <w:sz w:val="21"/>
          <w:szCs w:val="21"/>
          <w:highlight w:val="none"/>
          <w:lang w:val="en-US" w:eastAsia="zh-CN"/>
        </w:rPr>
        <w:t>验收款</w:t>
      </w:r>
      <w:r>
        <w:rPr>
          <w:rFonts w:hint="eastAsia" w:ascii="宋体" w:hAnsi="宋体" w:eastAsia="宋体" w:cs="宋体"/>
          <w:color w:val="auto"/>
          <w:sz w:val="21"/>
          <w:szCs w:val="21"/>
          <w:highlight w:val="none"/>
        </w:rPr>
        <w:t>给乙方</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hAnsi="宋体"/>
          <w:color w:val="auto"/>
          <w:szCs w:val="21"/>
          <w:highlight w:val="none"/>
        </w:rPr>
        <w:t>合同价款的3％</w:t>
      </w:r>
      <w:r>
        <w:rPr>
          <w:rFonts w:hint="eastAsia" w:hAnsi="宋体" w:eastAsia="宋体"/>
          <w:color w:val="auto"/>
          <w:szCs w:val="21"/>
          <w:highlight w:val="none"/>
          <w:lang w:val="en-US" w:eastAsia="zh-CN"/>
        </w:rPr>
        <w:t>为</w:t>
      </w:r>
      <w:r>
        <w:rPr>
          <w:rFonts w:hint="eastAsia" w:hAnsi="宋体"/>
          <w:color w:val="auto"/>
          <w:szCs w:val="21"/>
          <w:highlight w:val="none"/>
        </w:rPr>
        <w:t>质量保证金</w:t>
      </w:r>
      <w:r>
        <w:rPr>
          <w:rFonts w:hint="eastAsia" w:hAnsi="宋体" w:eastAsia="宋体"/>
          <w:color w:val="auto"/>
          <w:szCs w:val="21"/>
          <w:highlight w:val="none"/>
          <w:lang w:eastAsia="zh-CN"/>
        </w:rPr>
        <w:t>，</w:t>
      </w:r>
      <w:r>
        <w:rPr>
          <w:rFonts w:hint="eastAsia" w:hAnsi="宋体" w:eastAsia="宋体"/>
          <w:color w:val="auto"/>
          <w:szCs w:val="21"/>
          <w:highlight w:val="none"/>
          <w:lang w:val="en-US" w:eastAsia="zh-CN"/>
        </w:rPr>
        <w:t>合同</w:t>
      </w:r>
      <w:r>
        <w:rPr>
          <w:rFonts w:hint="eastAsia" w:hAnsi="宋体"/>
          <w:color w:val="auto"/>
          <w:szCs w:val="21"/>
          <w:highlight w:val="none"/>
        </w:rPr>
        <w:t>条款约定的缺陷责任期终止后的14天内，发包人应将剩余的质量保证金返还给承包人。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六、知识产权归属</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八、违约责任与赔偿损失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1.乙方提供的服务不符合本合同规定的，甲方有权拒收，并且乙方须向甲方方支付本合同总价5%的违约</w:t>
      </w:r>
      <w:r>
        <w:rPr>
          <w:rFonts w:hint="eastAsia" w:ascii="宋体" w:hAnsi="宋体" w:eastAsia="宋体" w:cs="宋体"/>
          <w:color w:val="auto"/>
          <w:sz w:val="21"/>
          <w:szCs w:val="21"/>
          <w:highlight w:val="none"/>
          <w:lang w:eastAsia="zh-CN"/>
        </w:rPr>
        <w:t>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3.甲方无正当理由拒收接受服务，到期拒付服务款项的，甲方向乙方偿付本合同总的5%的违约金。甲方人逾期付款，则每日按本合同总价的3‰向乙方偿付违约金。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4.对于因甲方原因导致变更、中止或者终止政府采购合同的，甲方应当依照以下合同约定对供应商受到的损失予以赔偿或者补偿：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5.其它违约责任按《中华人民共和国民法典》处理。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九、争议的解决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合同执行过程中发生的任何争议，如双方不能通过友好协商解决，按相关法律法规处理。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十、不可抗力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十一、税费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在中国境内、外发生的与本合同执行有关的一切税费均由乙方负担。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十二、其它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1.本合同所有附件、招标文件、投标文件、中标通知书均为合同的有效组成部分，与本合同具有同等法律效力。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2.在执行本合同的过程中，所有经双方签署确认的文件(包括会议纪要、补充协议、往来信函)即成为本合同的有效组成部分。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3.如一方地址、电话、传真号码有变更，应在变更当日内书面通知对方，否则，应承担相应责任。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4.除甲方事先书面同意外，乙方不得部分或全部转让其应履行的合同项下的义务。</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十三、合同生效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1.本合同在甲乙双方法人代表或其授权代表签字盖章后生效。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本合同一式</w:t>
      </w:r>
      <w:r>
        <w:rPr>
          <w:rFonts w:hint="eastAsia" w:ascii="宋体" w:hAnsi="宋体" w:eastAsia="宋体" w:cs="宋体"/>
          <w:snapToGrid w:val="0"/>
          <w:color w:val="auto"/>
          <w:kern w:val="0"/>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eastAsia="zh-CN"/>
        </w:rPr>
        <w:t>份，甲方执</w:t>
      </w:r>
      <w:r>
        <w:rPr>
          <w:rFonts w:hint="eastAsia" w:ascii="宋体" w:hAnsi="宋体" w:eastAsia="宋体" w:cs="宋体"/>
          <w:snapToGrid w:val="0"/>
          <w:color w:val="auto"/>
          <w:kern w:val="0"/>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eastAsia="zh-CN"/>
        </w:rPr>
        <w:t>份，乙方执</w:t>
      </w:r>
      <w:r>
        <w:rPr>
          <w:rFonts w:hint="eastAsia" w:ascii="宋体" w:hAnsi="宋体" w:eastAsia="宋体" w:cs="宋体"/>
          <w:snapToGrid w:val="0"/>
          <w:color w:val="auto"/>
          <w:kern w:val="0"/>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eastAsia="zh-CN"/>
        </w:rPr>
        <w:t>份，采购代理机构壹份。本合同合计</w:t>
      </w:r>
      <w:r>
        <w:rPr>
          <w:rFonts w:hint="eastAsia" w:ascii="宋体" w:hAnsi="宋体" w:eastAsia="宋体" w:cs="宋体"/>
          <w:snapToGrid w:val="0"/>
          <w:color w:val="auto"/>
          <w:kern w:val="0"/>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eastAsia="zh-CN"/>
        </w:rPr>
        <w:t>页A4纸张，缺页之合同为无效合同</w:t>
      </w:r>
      <w:r>
        <w:rPr>
          <w:rFonts w:hint="eastAsia" w:ascii="宋体" w:hAnsi="宋体" w:eastAsia="宋体" w:cs="宋体"/>
          <w:color w:val="auto"/>
          <w:sz w:val="21"/>
          <w:szCs w:val="21"/>
          <w:highlight w:val="none"/>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甲方：（公章）                 乙方：（公章）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法定代表人：                   法定代表人：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授权代表人：                   授权代表人：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地址：                         地址：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电话：                         电话：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开户银行：                     开户银行：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帐号：                         帐号：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签约时间：</w:t>
      </w:r>
      <w:r>
        <w:rPr>
          <w:rFonts w:hint="eastAsia" w:ascii="宋体" w:hAnsi="宋体" w:eastAsia="宋体" w:cs="宋体"/>
          <w:snapToGrid w:val="0"/>
          <w:color w:val="auto"/>
          <w:kern w:val="0"/>
          <w:sz w:val="21"/>
          <w:szCs w:val="21"/>
          <w:highlight w:val="none"/>
          <w:u w:val="singl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年</w:t>
      </w:r>
      <w:r>
        <w:rPr>
          <w:rFonts w:hint="eastAsia" w:ascii="宋体" w:hAnsi="宋体" w:eastAsia="宋体" w:cs="宋体"/>
          <w:snapToGrid w:val="0"/>
          <w:color w:val="auto"/>
          <w:kern w:val="0"/>
          <w:sz w:val="21"/>
          <w:szCs w:val="21"/>
          <w:highlight w:val="none"/>
          <w:u w:val="singl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月</w:t>
      </w:r>
      <w:r>
        <w:rPr>
          <w:rFonts w:hint="eastAsia" w:ascii="宋体" w:hAnsi="宋体" w:eastAsia="宋体" w:cs="宋体"/>
          <w:snapToGrid w:val="0"/>
          <w:color w:val="auto"/>
          <w:kern w:val="0"/>
          <w:sz w:val="21"/>
          <w:szCs w:val="21"/>
          <w:highlight w:val="none"/>
          <w:u w:val="singl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日  </w:t>
      </w:r>
    </w:p>
    <w:p>
      <w:pPr>
        <w:rPr>
          <w:color w:val="auto"/>
          <w:highlight w:val="none"/>
        </w:rPr>
      </w:pPr>
    </w:p>
    <w:p>
      <w:pPr>
        <w:pStyle w:val="7"/>
        <w:rPr>
          <w:rFonts w:hint="eastAsia" w:ascii="宋体" w:hAnsi="宋体" w:eastAsia="宋体" w:cs="宋体"/>
          <w:color w:val="auto"/>
          <w:sz w:val="21"/>
          <w:szCs w:val="21"/>
          <w:highlight w:val="none"/>
          <w:lang w:eastAsia="zh-CN"/>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3"/>
        <w:bidi w:val="0"/>
        <w:ind w:left="0" w:leftChars="0" w:right="-22" w:rightChars="0" w:hanging="7" w:firstLineChars="0"/>
        <w:outlineLvl w:val="0"/>
        <w:rPr>
          <w:rFonts w:hint="eastAsia" w:ascii="宋体" w:hAnsi="宋体" w:eastAsia="宋体" w:cs="宋体"/>
          <w:color w:val="auto"/>
          <w:sz w:val="28"/>
          <w:szCs w:val="28"/>
          <w:highlight w:val="none"/>
        </w:rPr>
      </w:pPr>
      <w:bookmarkStart w:id="113" w:name="_Toc27895"/>
      <w:r>
        <w:rPr>
          <w:rFonts w:hint="eastAsia" w:ascii="宋体" w:hAnsi="宋体" w:eastAsia="宋体" w:cs="宋体"/>
          <w:color w:val="auto"/>
          <w:sz w:val="28"/>
          <w:szCs w:val="28"/>
          <w:highlight w:val="none"/>
        </w:rPr>
        <w:t>第六章响应文件格式与要求</w:t>
      </w:r>
      <w:bookmarkEnd w:id="113"/>
    </w:p>
    <w:p>
      <w:pPr>
        <w:spacing w:line="317" w:lineRule="auto"/>
        <w:rPr>
          <w:rFonts w:hint="eastAsia" w:ascii="宋体" w:hAnsi="宋体" w:eastAsia="宋体" w:cs="宋体"/>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供应商应提交证明其有资格参加磋商和成交后有能力履行合同的相关文件，并作为其响应文件的一部分，所有文件必须真实可靠、不得伪造，否则将按相关规定予以处罚。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1.法人或者其他组织的营业执照等证明文件，自然人的身份证明：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2.财务状况报告，依法缴纳税收和社会保障资金的相关材料（详见资格性审查表要求）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3.具有履行合同所必须的设备和专业技术能力的声明。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4.供应商参加政府采购前三年内在经营活动中没有重大违法记录声明函。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5.信用记录查询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（1）查询渠道：通过“信用中国”网站(www.creditchina.gov.cn)和“中国政府采购网”（www.ccgp.gov.cn）进行查询；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（2）查询截止时点：提交响应文件截止日当天；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（3）查询记录：对列入失信被执行人、重大税收违法案件当事人名单、政府采购严重违法失信行为记录名单、信用报告进行查询；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6.按照磋商文件要求，供应商应当提交的资格、资信证明文件。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p>
    <w:p>
      <w:pPr>
        <w:rPr>
          <w:rFonts w:hint="eastAsia" w:ascii="宋体" w:hAnsi="宋体" w:eastAsia="宋体" w:cs="宋体"/>
          <w:color w:val="auto"/>
          <w:spacing w:val="-4"/>
          <w:sz w:val="23"/>
          <w:szCs w:val="23"/>
          <w:highlight w:val="none"/>
        </w:rPr>
      </w:pPr>
      <w:r>
        <w:rPr>
          <w:rFonts w:hint="eastAsia" w:ascii="宋体" w:hAnsi="宋体" w:eastAsia="宋体" w:cs="宋体"/>
          <w:color w:val="auto"/>
          <w:spacing w:val="-4"/>
          <w:sz w:val="23"/>
          <w:szCs w:val="23"/>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4"/>
          <w:szCs w:val="24"/>
          <w:highlight w:val="none"/>
        </w:rPr>
      </w:pPr>
      <w:bookmarkStart w:id="114" w:name="_Toc4673"/>
      <w:bookmarkStart w:id="115" w:name="_Toc13205"/>
      <w:r>
        <w:rPr>
          <w:rFonts w:hint="eastAsia" w:ascii="宋体" w:hAnsi="宋体" w:eastAsia="宋体" w:cs="宋体"/>
          <w:b/>
          <w:bCs/>
          <w:color w:val="auto"/>
          <w:sz w:val="24"/>
          <w:szCs w:val="24"/>
          <w:highlight w:val="none"/>
        </w:rPr>
        <w:t>响应文件封面</w:t>
      </w:r>
      <w:bookmarkEnd w:id="114"/>
      <w:bookmarkEnd w:id="115"/>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4"/>
          <w:szCs w:val="24"/>
          <w:highlight w:val="none"/>
        </w:rPr>
      </w:pPr>
      <w:bookmarkStart w:id="116" w:name="_Toc21136"/>
      <w:bookmarkStart w:id="117" w:name="_Toc21828"/>
      <w:r>
        <w:rPr>
          <w:rFonts w:hint="eastAsia" w:ascii="宋体" w:hAnsi="宋体" w:eastAsia="宋体" w:cs="宋体"/>
          <w:b/>
          <w:bCs/>
          <w:color w:val="auto"/>
          <w:sz w:val="24"/>
          <w:szCs w:val="24"/>
          <w:highlight w:val="none"/>
        </w:rPr>
        <w:t>（项目名称）</w:t>
      </w:r>
      <w:bookmarkEnd w:id="116"/>
      <w:bookmarkEnd w:id="117"/>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4"/>
          <w:szCs w:val="24"/>
          <w:highlight w:val="none"/>
        </w:rPr>
      </w:pPr>
      <w:bookmarkStart w:id="118" w:name="_Toc5200"/>
      <w:bookmarkStart w:id="119" w:name="_Toc27614"/>
      <w:r>
        <w:rPr>
          <w:rFonts w:hint="eastAsia" w:ascii="宋体" w:hAnsi="宋体" w:eastAsia="宋体" w:cs="宋体"/>
          <w:b/>
          <w:bCs/>
          <w:color w:val="auto"/>
          <w:sz w:val="24"/>
          <w:szCs w:val="24"/>
          <w:highlight w:val="none"/>
        </w:rPr>
        <w:t>响应文件封面</w:t>
      </w:r>
      <w:bookmarkEnd w:id="118"/>
      <w:bookmarkEnd w:id="119"/>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4"/>
          <w:szCs w:val="24"/>
          <w:highlight w:val="none"/>
        </w:rPr>
      </w:pPr>
      <w:bookmarkStart w:id="120" w:name="_Toc19829"/>
      <w:bookmarkStart w:id="121" w:name="_Toc27788"/>
      <w:r>
        <w:rPr>
          <w:rFonts w:hint="eastAsia" w:ascii="宋体" w:hAnsi="宋体" w:eastAsia="宋体" w:cs="宋体"/>
          <w:b/>
          <w:bCs/>
          <w:color w:val="auto"/>
          <w:sz w:val="24"/>
          <w:szCs w:val="24"/>
          <w:highlight w:val="none"/>
        </w:rPr>
        <w:t>（正本/副本）</w:t>
      </w:r>
      <w:bookmarkEnd w:id="120"/>
      <w:bookmarkEnd w:id="121"/>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4"/>
          <w:szCs w:val="24"/>
          <w:highlight w:val="none"/>
          <w:lang w:eastAsia="zh-CN"/>
        </w:rPr>
      </w:pPr>
      <w:bookmarkStart w:id="122" w:name="_Toc26190"/>
      <w:bookmarkStart w:id="123" w:name="_Toc21388"/>
      <w:r>
        <w:rPr>
          <w:rFonts w:hint="eastAsia" w:ascii="宋体" w:hAnsi="宋体" w:eastAsia="宋体" w:cs="宋体"/>
          <w:b/>
          <w:bCs/>
          <w:color w:val="auto"/>
          <w:sz w:val="24"/>
          <w:szCs w:val="24"/>
          <w:highlight w:val="none"/>
        </w:rPr>
        <w:t>采购项目编号：</w:t>
      </w:r>
      <w:bookmarkEnd w:id="122"/>
      <w:bookmarkEnd w:id="123"/>
      <w:r>
        <w:rPr>
          <w:rFonts w:hint="eastAsia" w:ascii="宋体" w:hAnsi="宋体" w:eastAsia="宋体" w:cs="宋体"/>
          <w:b/>
          <w:bCs/>
          <w:color w:val="auto"/>
          <w:sz w:val="24"/>
          <w:szCs w:val="24"/>
          <w:highlight w:val="none"/>
          <w:lang w:eastAsia="zh-CN"/>
        </w:rPr>
        <w:t>DGJY-2022112779</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4"/>
          <w:szCs w:val="24"/>
          <w:highlight w:val="none"/>
        </w:rPr>
      </w:pPr>
      <w:bookmarkStart w:id="124" w:name="_Toc26277"/>
      <w:bookmarkStart w:id="125" w:name="_Toc5195"/>
      <w:r>
        <w:rPr>
          <w:rFonts w:hint="eastAsia" w:ascii="宋体" w:hAnsi="宋体" w:eastAsia="宋体" w:cs="宋体"/>
          <w:b/>
          <w:bCs/>
          <w:color w:val="auto"/>
          <w:sz w:val="24"/>
          <w:szCs w:val="24"/>
          <w:highlight w:val="none"/>
        </w:rPr>
        <w:t>所响应采购包：第包</w:t>
      </w:r>
      <w:bookmarkEnd w:id="124"/>
      <w:bookmarkEnd w:id="125"/>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4"/>
          <w:szCs w:val="24"/>
          <w:highlight w:val="none"/>
        </w:rPr>
      </w:pPr>
      <w:bookmarkStart w:id="126" w:name="_Toc24292"/>
      <w:bookmarkStart w:id="127" w:name="_Toc20334"/>
      <w:r>
        <w:rPr>
          <w:rFonts w:hint="eastAsia" w:ascii="宋体" w:hAnsi="宋体" w:eastAsia="宋体" w:cs="宋体"/>
          <w:b/>
          <w:bCs/>
          <w:color w:val="auto"/>
          <w:sz w:val="24"/>
          <w:szCs w:val="24"/>
          <w:highlight w:val="none"/>
        </w:rPr>
        <w:t>（供应商名称）</w:t>
      </w:r>
      <w:bookmarkEnd w:id="126"/>
      <w:bookmarkEnd w:id="127"/>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4"/>
          <w:szCs w:val="24"/>
          <w:highlight w:val="none"/>
        </w:rPr>
      </w:pPr>
      <w:bookmarkStart w:id="128" w:name="_Toc8728"/>
      <w:bookmarkStart w:id="129" w:name="_Toc14408"/>
      <w:r>
        <w:rPr>
          <w:rFonts w:hint="eastAsia" w:ascii="宋体" w:hAnsi="宋体" w:eastAsia="宋体" w:cs="宋体"/>
          <w:b/>
          <w:bCs/>
          <w:color w:val="auto"/>
          <w:sz w:val="24"/>
          <w:szCs w:val="24"/>
          <w:highlight w:val="none"/>
        </w:rPr>
        <w:t>年月日</w:t>
      </w:r>
      <w:bookmarkEnd w:id="128"/>
      <w:bookmarkEnd w:id="129"/>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p>
    <w:p>
      <w:pPr>
        <w:rPr>
          <w:rFonts w:hint="eastAsia" w:ascii="宋体" w:hAnsi="宋体" w:eastAsia="宋体" w:cs="宋体"/>
          <w:b/>
          <w:bCs/>
          <w:color w:val="auto"/>
          <w:spacing w:val="-4"/>
          <w:sz w:val="24"/>
          <w:szCs w:val="24"/>
          <w:highlight w:val="none"/>
        </w:rPr>
      </w:pP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highlight w:val="none"/>
        </w:rPr>
      </w:pPr>
      <w:bookmarkStart w:id="130" w:name="_Toc14283"/>
      <w:bookmarkStart w:id="131" w:name="_Toc19824"/>
      <w:r>
        <w:rPr>
          <w:rFonts w:hint="eastAsia" w:ascii="宋体" w:hAnsi="宋体" w:eastAsia="宋体" w:cs="宋体"/>
          <w:b/>
          <w:bCs/>
          <w:color w:val="auto"/>
          <w:highlight w:val="none"/>
        </w:rPr>
        <w:t>响应文件目录</w:t>
      </w:r>
      <w:bookmarkEnd w:id="130"/>
      <w:bookmarkEnd w:id="131"/>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lang w:eastAsia="zh-CN"/>
        </w:rPr>
      </w:pPr>
      <w:bookmarkStart w:id="132" w:name="_Toc24577"/>
      <w:bookmarkStart w:id="133" w:name="_Toc4799"/>
      <w:r>
        <w:rPr>
          <w:rFonts w:hint="eastAsia" w:ascii="宋体" w:hAnsi="宋体" w:eastAsia="宋体" w:cs="宋体"/>
          <w:b w:val="0"/>
          <w:bCs w:val="0"/>
          <w:color w:val="auto"/>
          <w:highlight w:val="none"/>
          <w:lang w:eastAsia="zh-CN"/>
        </w:rPr>
        <w:t>一、</w:t>
      </w:r>
      <w:bookmarkStart w:id="134" w:name="_Toc20219"/>
      <w:r>
        <w:rPr>
          <w:rFonts w:hint="eastAsia" w:ascii="宋体" w:hAnsi="宋体" w:eastAsia="宋体" w:cs="宋体"/>
          <w:b w:val="0"/>
          <w:bCs w:val="0"/>
          <w:color w:val="auto"/>
          <w:highlight w:val="none"/>
          <w:lang w:val="en-US" w:eastAsia="zh-CN"/>
        </w:rPr>
        <w:t>索引</w:t>
      </w:r>
      <w:bookmarkEnd w:id="132"/>
      <w:bookmarkEnd w:id="133"/>
      <w:bookmarkEnd w:id="134"/>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35" w:name="_Toc14916"/>
      <w:bookmarkStart w:id="136" w:name="_Toc13394"/>
      <w:r>
        <w:rPr>
          <w:rFonts w:hint="eastAsia" w:ascii="宋体" w:hAnsi="宋体" w:eastAsia="宋体" w:cs="宋体"/>
          <w:b w:val="0"/>
          <w:bCs w:val="0"/>
          <w:color w:val="auto"/>
          <w:highlight w:val="none"/>
          <w:lang w:eastAsia="zh-CN"/>
        </w:rPr>
        <w:t>二</w:t>
      </w:r>
      <w:r>
        <w:rPr>
          <w:rFonts w:hint="eastAsia" w:ascii="宋体" w:hAnsi="宋体" w:eastAsia="宋体" w:cs="宋体"/>
          <w:b w:val="0"/>
          <w:bCs w:val="0"/>
          <w:color w:val="auto"/>
          <w:highlight w:val="none"/>
        </w:rPr>
        <w:t>、响应承诺函</w:t>
      </w:r>
      <w:bookmarkEnd w:id="135"/>
      <w:bookmarkEnd w:id="136"/>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37" w:name="_Toc13582"/>
      <w:bookmarkStart w:id="138" w:name="_Toc19699"/>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、首轮报价表</w:t>
      </w:r>
      <w:bookmarkEnd w:id="137"/>
      <w:bookmarkEnd w:id="138"/>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39" w:name="_Toc3334"/>
      <w:bookmarkStart w:id="140" w:name="_Toc10643"/>
      <w:r>
        <w:rPr>
          <w:rFonts w:hint="eastAsia" w:ascii="宋体" w:hAnsi="宋体" w:eastAsia="宋体" w:cs="宋体"/>
          <w:b w:val="0"/>
          <w:bCs w:val="0"/>
          <w:color w:val="auto"/>
          <w:highlight w:val="none"/>
          <w:lang w:eastAsia="zh-CN"/>
        </w:rPr>
        <w:t>四</w:t>
      </w:r>
      <w:r>
        <w:rPr>
          <w:rFonts w:hint="eastAsia" w:ascii="宋体" w:hAnsi="宋体" w:eastAsia="宋体" w:cs="宋体"/>
          <w:b w:val="0"/>
          <w:bCs w:val="0"/>
          <w:color w:val="auto"/>
          <w:highlight w:val="none"/>
        </w:rPr>
        <w:t>、分项报价表</w:t>
      </w:r>
      <w:bookmarkEnd w:id="139"/>
      <w:bookmarkEnd w:id="140"/>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lang w:eastAsia="zh-CN"/>
        </w:rPr>
      </w:pPr>
      <w:bookmarkStart w:id="141" w:name="_Toc8166"/>
      <w:bookmarkStart w:id="142" w:name="_Toc25739"/>
      <w:r>
        <w:rPr>
          <w:rFonts w:hint="eastAsia" w:ascii="宋体" w:hAnsi="宋体" w:eastAsia="宋体" w:cs="宋体"/>
          <w:b w:val="0"/>
          <w:bCs w:val="0"/>
          <w:color w:val="auto"/>
          <w:highlight w:val="none"/>
          <w:lang w:eastAsia="zh-CN"/>
        </w:rPr>
        <w:t>五</w:t>
      </w:r>
      <w:r>
        <w:rPr>
          <w:rFonts w:hint="eastAsia" w:ascii="宋体" w:hAnsi="宋体" w:eastAsia="宋体" w:cs="宋体"/>
          <w:b w:val="0"/>
          <w:bCs w:val="0"/>
          <w:color w:val="auto"/>
          <w:highlight w:val="none"/>
        </w:rPr>
        <w:t>、法定代表人证明书</w:t>
      </w:r>
      <w:bookmarkEnd w:id="141"/>
      <w:bookmarkEnd w:id="142"/>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43" w:name="_Toc9872"/>
      <w:bookmarkStart w:id="144" w:name="_Toc15530"/>
      <w:r>
        <w:rPr>
          <w:rFonts w:hint="eastAsia" w:ascii="宋体" w:hAnsi="宋体" w:eastAsia="宋体" w:cs="宋体"/>
          <w:b w:val="0"/>
          <w:bCs w:val="0"/>
          <w:color w:val="auto"/>
          <w:highlight w:val="none"/>
          <w:lang w:eastAsia="zh-CN"/>
        </w:rPr>
        <w:t>六</w:t>
      </w:r>
      <w:r>
        <w:rPr>
          <w:rFonts w:hint="eastAsia" w:ascii="宋体" w:hAnsi="宋体" w:eastAsia="宋体" w:cs="宋体"/>
          <w:b w:val="0"/>
          <w:bCs w:val="0"/>
          <w:color w:val="auto"/>
          <w:highlight w:val="none"/>
        </w:rPr>
        <w:t>、法定代表人授权书</w:t>
      </w:r>
      <w:bookmarkEnd w:id="143"/>
      <w:bookmarkEnd w:id="144"/>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45" w:name="_Toc23618"/>
      <w:bookmarkStart w:id="146" w:name="_Toc25680"/>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、保证金汇入情况说明</w:t>
      </w:r>
      <w:bookmarkEnd w:id="145"/>
      <w:bookmarkEnd w:id="146"/>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47" w:name="_Toc7223"/>
      <w:bookmarkStart w:id="148" w:name="_Toc31774"/>
      <w:r>
        <w:rPr>
          <w:rFonts w:hint="eastAsia" w:ascii="宋体" w:hAnsi="宋体" w:eastAsia="宋体" w:cs="宋体"/>
          <w:b w:val="0"/>
          <w:bCs w:val="0"/>
          <w:color w:val="auto"/>
          <w:highlight w:val="none"/>
          <w:lang w:eastAsia="zh-CN"/>
        </w:rPr>
        <w:t>八</w:t>
      </w:r>
      <w:r>
        <w:rPr>
          <w:rFonts w:hint="eastAsia" w:ascii="宋体" w:hAnsi="宋体" w:eastAsia="宋体" w:cs="宋体"/>
          <w:b w:val="0"/>
          <w:bCs w:val="0"/>
          <w:color w:val="auto"/>
          <w:highlight w:val="none"/>
        </w:rPr>
        <w:t>、提供具有独立承担民事责任的能力的证明材料</w:t>
      </w:r>
      <w:bookmarkEnd w:id="147"/>
      <w:bookmarkEnd w:id="148"/>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49" w:name="_Toc11753"/>
      <w:bookmarkStart w:id="150" w:name="_Toc32035"/>
      <w:r>
        <w:rPr>
          <w:rFonts w:hint="eastAsia" w:ascii="宋体" w:hAnsi="宋体" w:eastAsia="宋体" w:cs="宋体"/>
          <w:b w:val="0"/>
          <w:bCs w:val="0"/>
          <w:color w:val="auto"/>
          <w:highlight w:val="none"/>
          <w:lang w:eastAsia="zh-CN"/>
        </w:rPr>
        <w:t>九</w:t>
      </w:r>
      <w:r>
        <w:rPr>
          <w:rFonts w:hint="eastAsia" w:ascii="宋体" w:hAnsi="宋体" w:eastAsia="宋体" w:cs="宋体"/>
          <w:b w:val="0"/>
          <w:bCs w:val="0"/>
          <w:color w:val="auto"/>
          <w:highlight w:val="none"/>
        </w:rPr>
        <w:t>、资格性审查要求的其他资质证明文件</w:t>
      </w:r>
      <w:bookmarkEnd w:id="149"/>
      <w:bookmarkEnd w:id="150"/>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51" w:name="_Toc15058"/>
      <w:bookmarkStart w:id="152" w:name="_Toc23359"/>
      <w:r>
        <w:rPr>
          <w:rFonts w:hint="eastAsia" w:ascii="宋体" w:hAnsi="宋体" w:eastAsia="宋体" w:cs="宋体"/>
          <w:b w:val="0"/>
          <w:bCs w:val="0"/>
          <w:color w:val="auto"/>
          <w:highlight w:val="none"/>
        </w:rPr>
        <w:t>十、联合体共同响应协议书</w:t>
      </w:r>
      <w:bookmarkEnd w:id="151"/>
      <w:bookmarkEnd w:id="152"/>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53" w:name="_Toc17291"/>
      <w:bookmarkStart w:id="154" w:name="_Toc6199"/>
      <w:r>
        <w:rPr>
          <w:rFonts w:hint="eastAsia" w:ascii="宋体" w:hAnsi="宋体" w:eastAsia="宋体" w:cs="宋体"/>
          <w:b w:val="0"/>
          <w:bCs w:val="0"/>
          <w:color w:val="auto"/>
          <w:highlight w:val="none"/>
        </w:rPr>
        <w:t>十</w:t>
      </w:r>
      <w:r>
        <w:rPr>
          <w:rFonts w:hint="eastAsia" w:ascii="宋体" w:hAnsi="宋体" w:eastAsia="宋体" w:cs="宋体"/>
          <w:b w:val="0"/>
          <w:bCs w:val="0"/>
          <w:color w:val="auto"/>
          <w:highlight w:val="none"/>
          <w:lang w:eastAsia="zh-CN"/>
        </w:rPr>
        <w:t>一</w:t>
      </w:r>
      <w:r>
        <w:rPr>
          <w:rFonts w:hint="eastAsia" w:ascii="宋体" w:hAnsi="宋体" w:eastAsia="宋体" w:cs="宋体"/>
          <w:b w:val="0"/>
          <w:bCs w:val="0"/>
          <w:color w:val="auto"/>
          <w:highlight w:val="none"/>
        </w:rPr>
        <w:t>、供应商业绩情况表</w:t>
      </w:r>
      <w:bookmarkEnd w:id="153"/>
      <w:bookmarkEnd w:id="154"/>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55" w:name="_Toc12936"/>
      <w:bookmarkStart w:id="156" w:name="_Toc31412"/>
      <w:r>
        <w:rPr>
          <w:rFonts w:hint="eastAsia" w:ascii="宋体" w:hAnsi="宋体" w:eastAsia="宋体" w:cs="宋体"/>
          <w:b w:val="0"/>
          <w:bCs w:val="0"/>
          <w:color w:val="auto"/>
          <w:highlight w:val="none"/>
        </w:rPr>
        <w:t>十</w:t>
      </w:r>
      <w:r>
        <w:rPr>
          <w:rFonts w:hint="eastAsia" w:ascii="宋体" w:hAnsi="宋体" w:eastAsia="宋体" w:cs="宋体"/>
          <w:b w:val="0"/>
          <w:bCs w:val="0"/>
          <w:color w:val="auto"/>
          <w:highlight w:val="none"/>
          <w:lang w:eastAsia="zh-CN"/>
        </w:rPr>
        <w:t>二</w:t>
      </w:r>
      <w:r>
        <w:rPr>
          <w:rFonts w:hint="eastAsia" w:ascii="宋体" w:hAnsi="宋体" w:eastAsia="宋体" w:cs="宋体"/>
          <w:b w:val="0"/>
          <w:bCs w:val="0"/>
          <w:color w:val="auto"/>
          <w:highlight w:val="none"/>
        </w:rPr>
        <w:t>、技术和服务要求响应表</w:t>
      </w:r>
      <w:bookmarkEnd w:id="155"/>
      <w:bookmarkEnd w:id="156"/>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57" w:name="_Toc29205"/>
      <w:bookmarkStart w:id="158" w:name="_Toc559"/>
      <w:r>
        <w:rPr>
          <w:rFonts w:hint="eastAsia" w:ascii="宋体" w:hAnsi="宋体" w:eastAsia="宋体" w:cs="宋体"/>
          <w:b w:val="0"/>
          <w:bCs w:val="0"/>
          <w:color w:val="auto"/>
          <w:highlight w:val="none"/>
        </w:rPr>
        <w:t>十</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、商务条件响应表</w:t>
      </w:r>
      <w:bookmarkEnd w:id="157"/>
      <w:bookmarkEnd w:id="158"/>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59" w:name="_Toc16736"/>
      <w:bookmarkStart w:id="160" w:name="_Toc16909"/>
      <w:r>
        <w:rPr>
          <w:rFonts w:hint="eastAsia" w:ascii="宋体" w:hAnsi="宋体" w:eastAsia="宋体" w:cs="宋体"/>
          <w:b w:val="0"/>
          <w:bCs w:val="0"/>
          <w:color w:val="auto"/>
          <w:highlight w:val="none"/>
        </w:rPr>
        <w:t>十</w:t>
      </w:r>
      <w:r>
        <w:rPr>
          <w:rFonts w:hint="eastAsia" w:ascii="宋体" w:hAnsi="宋体" w:eastAsia="宋体" w:cs="宋体"/>
          <w:b w:val="0"/>
          <w:bCs w:val="0"/>
          <w:color w:val="auto"/>
          <w:highlight w:val="none"/>
          <w:lang w:eastAsia="zh-CN"/>
        </w:rPr>
        <w:t>四</w:t>
      </w:r>
      <w:r>
        <w:rPr>
          <w:rFonts w:hint="eastAsia" w:ascii="宋体" w:hAnsi="宋体" w:eastAsia="宋体" w:cs="宋体"/>
          <w:b w:val="0"/>
          <w:bCs w:val="0"/>
          <w:color w:val="auto"/>
          <w:highlight w:val="none"/>
        </w:rPr>
        <w:t>、履约进度计划表</w:t>
      </w:r>
      <w:bookmarkEnd w:id="159"/>
      <w:bookmarkEnd w:id="160"/>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61" w:name="_Toc10229"/>
      <w:bookmarkStart w:id="162" w:name="_Toc15706"/>
      <w:r>
        <w:rPr>
          <w:rFonts w:hint="eastAsia" w:ascii="宋体" w:hAnsi="宋体" w:eastAsia="宋体" w:cs="宋体"/>
          <w:b w:val="0"/>
          <w:bCs w:val="0"/>
          <w:color w:val="auto"/>
          <w:highlight w:val="none"/>
        </w:rPr>
        <w:t>十</w:t>
      </w:r>
      <w:r>
        <w:rPr>
          <w:rFonts w:hint="eastAsia" w:ascii="宋体" w:hAnsi="宋体" w:eastAsia="宋体" w:cs="宋体"/>
          <w:b w:val="0"/>
          <w:bCs w:val="0"/>
          <w:color w:val="auto"/>
          <w:highlight w:val="none"/>
          <w:lang w:eastAsia="zh-CN"/>
        </w:rPr>
        <w:t>五</w:t>
      </w:r>
      <w:r>
        <w:rPr>
          <w:rFonts w:hint="eastAsia" w:ascii="宋体" w:hAnsi="宋体" w:eastAsia="宋体" w:cs="宋体"/>
          <w:b w:val="0"/>
          <w:bCs w:val="0"/>
          <w:color w:val="auto"/>
          <w:highlight w:val="none"/>
        </w:rPr>
        <w:t>、各类证明材料</w:t>
      </w:r>
      <w:bookmarkEnd w:id="161"/>
      <w:bookmarkEnd w:id="162"/>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63" w:name="_Toc19558"/>
      <w:bookmarkStart w:id="164" w:name="_Toc4295"/>
      <w:r>
        <w:rPr>
          <w:rFonts w:hint="eastAsia" w:ascii="宋体" w:hAnsi="宋体" w:eastAsia="宋体" w:cs="宋体"/>
          <w:b w:val="0"/>
          <w:bCs w:val="0"/>
          <w:color w:val="auto"/>
          <w:highlight w:val="none"/>
        </w:rPr>
        <w:t>十</w:t>
      </w:r>
      <w:r>
        <w:rPr>
          <w:rFonts w:hint="eastAsia" w:ascii="宋体" w:hAnsi="宋体" w:eastAsia="宋体" w:cs="宋体"/>
          <w:b w:val="0"/>
          <w:bCs w:val="0"/>
          <w:color w:val="auto"/>
          <w:highlight w:val="none"/>
          <w:lang w:eastAsia="zh-CN"/>
        </w:rPr>
        <w:t>六</w:t>
      </w:r>
      <w:r>
        <w:rPr>
          <w:rFonts w:hint="eastAsia" w:ascii="宋体" w:hAnsi="宋体" w:eastAsia="宋体" w:cs="宋体"/>
          <w:b w:val="0"/>
          <w:bCs w:val="0"/>
          <w:color w:val="auto"/>
          <w:highlight w:val="none"/>
        </w:rPr>
        <w:t>、</w:t>
      </w:r>
      <w:bookmarkEnd w:id="163"/>
      <w:bookmarkEnd w:id="164"/>
      <w:r>
        <w:rPr>
          <w:rFonts w:hint="eastAsia" w:ascii="宋体" w:hAnsi="宋体" w:eastAsia="宋体" w:cs="宋体"/>
          <w:b w:val="0"/>
          <w:bCs w:val="0"/>
          <w:color w:val="auto"/>
          <w:highlight w:val="none"/>
        </w:rPr>
        <w:t>代理服务费缴纳承诺函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65" w:name="_Toc18566"/>
      <w:bookmarkStart w:id="166" w:name="_Toc29090"/>
      <w:r>
        <w:rPr>
          <w:rFonts w:hint="eastAsia" w:ascii="宋体" w:hAnsi="宋体" w:eastAsia="宋体" w:cs="宋体"/>
          <w:b w:val="0"/>
          <w:bCs w:val="0"/>
          <w:color w:val="auto"/>
          <w:highlight w:val="none"/>
        </w:rPr>
        <w:t>十</w:t>
      </w:r>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、需要采购人提供的附加条件</w:t>
      </w:r>
      <w:bookmarkEnd w:id="165"/>
      <w:bookmarkEnd w:id="166"/>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b w:val="0"/>
          <w:bCs w:val="0"/>
          <w:color w:val="auto"/>
          <w:highlight w:val="none"/>
        </w:rPr>
      </w:pPr>
      <w:bookmarkStart w:id="167" w:name="_Toc27182"/>
      <w:bookmarkStart w:id="168" w:name="_Toc15726"/>
      <w:r>
        <w:rPr>
          <w:rFonts w:hint="eastAsia" w:ascii="宋体" w:hAnsi="宋体" w:eastAsia="宋体" w:cs="宋体"/>
          <w:b w:val="0"/>
          <w:bCs w:val="0"/>
          <w:color w:val="auto"/>
          <w:highlight w:val="none"/>
        </w:rPr>
        <w:t>十</w:t>
      </w:r>
      <w:r>
        <w:rPr>
          <w:rFonts w:hint="eastAsia" w:ascii="宋体" w:hAnsi="宋体" w:eastAsia="宋体" w:cs="宋体"/>
          <w:b w:val="0"/>
          <w:bCs w:val="0"/>
          <w:color w:val="auto"/>
          <w:highlight w:val="none"/>
          <w:lang w:eastAsia="zh-CN"/>
        </w:rPr>
        <w:t>八</w:t>
      </w:r>
      <w:r>
        <w:rPr>
          <w:rFonts w:hint="eastAsia" w:ascii="宋体" w:hAnsi="宋体" w:eastAsia="宋体" w:cs="宋体"/>
          <w:b w:val="0"/>
          <w:bCs w:val="0"/>
          <w:color w:val="auto"/>
          <w:highlight w:val="none"/>
        </w:rPr>
        <w:t>、项目实施方案</w:t>
      </w:r>
      <w:bookmarkEnd w:id="167"/>
      <w:bookmarkEnd w:id="168"/>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highlight w:val="none"/>
        </w:rPr>
      </w:pPr>
    </w:p>
    <w:p>
      <w:pPr>
        <w:rPr>
          <w:rFonts w:hint="eastAsia" w:ascii="宋体" w:hAnsi="宋体" w:eastAsia="宋体" w:cs="宋体"/>
          <w:color w:val="auto"/>
          <w:sz w:val="19"/>
          <w:szCs w:val="19"/>
          <w:highlight w:val="none"/>
        </w:rPr>
      </w:pPr>
    </w:p>
    <w:p>
      <w:pPr>
        <w:pStyle w:val="7"/>
        <w:rPr>
          <w:rFonts w:hint="eastAsia" w:ascii="宋体" w:hAnsi="宋体" w:eastAsia="宋体" w:cs="宋体"/>
          <w:color w:val="auto"/>
          <w:sz w:val="19"/>
          <w:szCs w:val="19"/>
          <w:highlight w:val="none"/>
        </w:rPr>
      </w:pPr>
    </w:p>
    <w:p>
      <w:pPr>
        <w:rPr>
          <w:rFonts w:hint="eastAsia" w:ascii="宋体" w:hAnsi="宋体" w:eastAsia="宋体" w:cs="宋体"/>
          <w:color w:val="auto"/>
          <w:sz w:val="19"/>
          <w:szCs w:val="19"/>
          <w:highlight w:val="none"/>
        </w:rPr>
      </w:pPr>
      <w:r>
        <w:rPr>
          <w:rFonts w:hint="eastAsia" w:ascii="宋体" w:hAnsi="宋体" w:eastAsia="宋体" w:cs="宋体"/>
          <w:color w:val="auto"/>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169" w:name="_Toc24175"/>
      <w:r>
        <w:rPr>
          <w:rFonts w:hint="eastAsia" w:ascii="宋体" w:hAnsi="宋体" w:eastAsia="宋体" w:cs="宋体"/>
          <w:color w:val="auto"/>
          <w:highlight w:val="none"/>
        </w:rPr>
        <w:t>格式一：</w:t>
      </w:r>
      <w:r>
        <w:rPr>
          <w:rFonts w:hint="eastAsia" w:ascii="宋体" w:hAnsi="宋体" w:eastAsia="宋体" w:cs="宋体"/>
          <w:color w:val="auto"/>
          <w:highlight w:val="none"/>
          <w:lang w:val="en-US" w:eastAsia="zh-CN"/>
        </w:rPr>
        <w:t>索引</w:t>
      </w:r>
      <w:bookmarkEnd w:id="169"/>
    </w:p>
    <w:p>
      <w:pPr>
        <w:pStyle w:val="2"/>
        <w:ind w:left="0" w:leftChars="0" w:firstLine="0" w:firstLineChars="0"/>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snapToGrid w:val="0"/>
        <w:spacing w:line="360" w:lineRule="auto"/>
        <w:jc w:val="center"/>
        <w:outlineLvl w:val="0"/>
        <w:rPr>
          <w:rFonts w:hint="eastAsia" w:ascii="宋体" w:hAnsi="宋体" w:eastAsia="宋体" w:cs="宋体"/>
          <w:b/>
          <w:bCs/>
          <w:color w:val="auto"/>
          <w:highlight w:val="none"/>
        </w:rPr>
      </w:pPr>
      <w:bookmarkStart w:id="170" w:name="_Toc11390"/>
      <w:bookmarkStart w:id="171" w:name="_Toc10796"/>
      <w:bookmarkStart w:id="172" w:name="_Toc21029"/>
      <w:bookmarkStart w:id="173" w:name="_Toc21548"/>
      <w:r>
        <w:rPr>
          <w:rFonts w:hint="eastAsia" w:ascii="宋体" w:hAnsi="宋体" w:eastAsia="宋体" w:cs="宋体"/>
          <w:b/>
          <w:bCs/>
          <w:color w:val="auto"/>
          <w:highlight w:val="none"/>
        </w:rPr>
        <w:t>评审要素投标资料</w:t>
      </w:r>
      <w:r>
        <w:rPr>
          <w:rFonts w:hint="eastAsia" w:ascii="宋体" w:hAnsi="宋体" w:eastAsia="宋体" w:cs="宋体"/>
          <w:b/>
          <w:bCs/>
          <w:color w:val="auto"/>
          <w:highlight w:val="none"/>
          <w:lang w:val="en-US" w:eastAsia="zh-CN"/>
        </w:rPr>
        <w:t>索引</w:t>
      </w:r>
      <w:r>
        <w:rPr>
          <w:rFonts w:hint="eastAsia" w:ascii="宋体" w:hAnsi="宋体" w:eastAsia="宋体" w:cs="宋体"/>
          <w:b/>
          <w:bCs/>
          <w:color w:val="auto"/>
          <w:highlight w:val="none"/>
        </w:rPr>
        <w:t>表</w:t>
      </w:r>
      <w:bookmarkEnd w:id="170"/>
      <w:bookmarkEnd w:id="171"/>
      <w:bookmarkEnd w:id="172"/>
      <w:bookmarkEnd w:id="173"/>
    </w:p>
    <w:tbl>
      <w:tblPr>
        <w:tblStyle w:val="1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noWrap w:val="0"/>
            <w:vAlign w:val="center"/>
          </w:tcPr>
          <w:p>
            <w:pPr>
              <w:pStyle w:val="26"/>
              <w:keepNext w:val="0"/>
              <w:keepLines w:val="0"/>
              <w:pageBreakBefore w:val="0"/>
              <w:widowControl/>
              <w:kinsoku w:val="0"/>
              <w:wordWrap/>
              <w:overflowPunct/>
              <w:topLinePunct w:val="0"/>
              <w:autoSpaceDE w:val="0"/>
              <w:autoSpaceDN w:val="0"/>
              <w:bidi w:val="0"/>
              <w:adjustRightInd/>
              <w:snapToGrid w:val="0"/>
              <w:spacing w:before="0" w:after="0" w:line="360" w:lineRule="auto"/>
              <w:jc w:val="left"/>
              <w:textAlignment w:val="auto"/>
              <w:rPr>
                <w:rFonts w:hint="eastAsia" w:ascii="宋体" w:hAnsi="宋体" w:eastAsia="宋体" w:cs="宋体"/>
                <w:b/>
                <w:bCs/>
                <w:snapToGrid/>
                <w:color w:val="auto"/>
                <w:spacing w:val="0"/>
                <w:kern w:val="2"/>
                <w:sz w:val="21"/>
                <w:szCs w:val="21"/>
                <w:highlight w:val="none"/>
              </w:rPr>
            </w:pPr>
            <w:r>
              <w:rPr>
                <w:rFonts w:hint="eastAsia" w:ascii="宋体" w:hAnsi="宋体" w:eastAsia="宋体" w:cs="宋体"/>
                <w:b/>
                <w:bCs/>
                <w:snapToGrid/>
                <w:color w:val="auto"/>
                <w:spacing w:val="0"/>
                <w:kern w:val="2"/>
                <w:sz w:val="21"/>
                <w:szCs w:val="21"/>
                <w:highlight w:val="none"/>
              </w:rPr>
              <w:t>商务评审分项</w:t>
            </w:r>
          </w:p>
        </w:tc>
        <w:tc>
          <w:tcPr>
            <w:tcW w:w="5580" w:type="dxa"/>
            <w:noWrap w:val="0"/>
            <w:vAlign w:val="center"/>
          </w:tcPr>
          <w:p>
            <w:pPr>
              <w:pStyle w:val="26"/>
              <w:keepNext w:val="0"/>
              <w:keepLines w:val="0"/>
              <w:pageBreakBefore w:val="0"/>
              <w:widowControl/>
              <w:kinsoku w:val="0"/>
              <w:wordWrap/>
              <w:overflowPunct/>
              <w:topLinePunct w:val="0"/>
              <w:autoSpaceDE w:val="0"/>
              <w:autoSpaceDN w:val="0"/>
              <w:bidi w:val="0"/>
              <w:adjustRightInd/>
              <w:snapToGrid w:val="0"/>
              <w:spacing w:before="0" w:after="0" w:line="360" w:lineRule="auto"/>
              <w:jc w:val="center"/>
              <w:textAlignment w:val="auto"/>
              <w:rPr>
                <w:rFonts w:hint="eastAsia" w:ascii="宋体" w:hAnsi="宋体" w:eastAsia="宋体" w:cs="宋体"/>
                <w:b/>
                <w:bCs/>
                <w:snapToGrid/>
                <w:color w:val="auto"/>
                <w:spacing w:val="0"/>
                <w:kern w:val="2"/>
                <w:sz w:val="21"/>
                <w:szCs w:val="21"/>
                <w:highlight w:val="none"/>
              </w:rPr>
            </w:pPr>
            <w:r>
              <w:rPr>
                <w:rFonts w:hint="eastAsia" w:ascii="宋体" w:hAnsi="宋体" w:eastAsia="宋体" w:cs="宋体"/>
                <w:b/>
                <w:bCs/>
                <w:snapToGrid/>
                <w:color w:val="auto"/>
                <w:spacing w:val="0"/>
                <w:kern w:val="2"/>
                <w:sz w:val="21"/>
                <w:szCs w:val="21"/>
                <w:highlight w:val="none"/>
              </w:rPr>
              <w:t>商务评审细则</w:t>
            </w:r>
          </w:p>
        </w:tc>
        <w:tc>
          <w:tcPr>
            <w:tcW w:w="2160" w:type="dxa"/>
            <w:noWrap w:val="0"/>
            <w:vAlign w:val="center"/>
          </w:tcPr>
          <w:p>
            <w:pPr>
              <w:pStyle w:val="26"/>
              <w:keepNext w:val="0"/>
              <w:keepLines w:val="0"/>
              <w:pageBreakBefore w:val="0"/>
              <w:widowControl/>
              <w:kinsoku w:val="0"/>
              <w:wordWrap/>
              <w:overflowPunct/>
              <w:topLinePunct w:val="0"/>
              <w:autoSpaceDE w:val="0"/>
              <w:autoSpaceDN w:val="0"/>
              <w:bidi w:val="0"/>
              <w:adjustRightInd/>
              <w:snapToGrid w:val="0"/>
              <w:spacing w:before="0" w:after="0" w:line="360" w:lineRule="auto"/>
              <w:jc w:val="left"/>
              <w:textAlignment w:val="auto"/>
              <w:rPr>
                <w:rFonts w:hint="eastAsia" w:ascii="宋体" w:hAnsi="宋体" w:eastAsia="宋体" w:cs="宋体"/>
                <w:b/>
                <w:bCs/>
                <w:snapToGrid/>
                <w:color w:val="auto"/>
                <w:spacing w:val="0"/>
                <w:kern w:val="2"/>
                <w:sz w:val="21"/>
                <w:szCs w:val="21"/>
                <w:highlight w:val="none"/>
              </w:rPr>
            </w:pPr>
            <w:r>
              <w:rPr>
                <w:rFonts w:hint="eastAsia" w:ascii="宋体" w:hAnsi="宋体" w:eastAsia="宋体" w:cs="宋体"/>
                <w:b/>
                <w:bCs/>
                <w:snapToGrid/>
                <w:color w:val="auto"/>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pStyle w:val="22"/>
              <w:keepNext w:val="0"/>
              <w:keepLines w:val="0"/>
              <w:pageBreakBefore w:val="0"/>
              <w:widowControl/>
              <w:kinsoku w:val="0"/>
              <w:wordWrap/>
              <w:overflowPunct/>
              <w:topLinePunct w:val="0"/>
              <w:autoSpaceDE w:val="0"/>
              <w:autoSpaceDN w:val="0"/>
              <w:bidi w:val="0"/>
              <w:snapToGrid w:val="0"/>
              <w:spacing w:before="0" w:after="0" w:line="360" w:lineRule="auto"/>
              <w:jc w:val="left"/>
              <w:rPr>
                <w:rFonts w:hint="eastAsia" w:ascii="宋体" w:hAnsi="宋体" w:eastAsia="宋体" w:cs="宋体"/>
                <w:color w:val="auto"/>
                <w:sz w:val="21"/>
                <w:szCs w:val="21"/>
                <w:highlight w:val="none"/>
              </w:rPr>
            </w:pPr>
          </w:p>
        </w:tc>
        <w:tc>
          <w:tcPr>
            <w:tcW w:w="558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ind w:left="10" w:leftChars="5"/>
              <w:jc w:val="left"/>
              <w:rPr>
                <w:rFonts w:hint="eastAsia" w:ascii="宋体" w:hAnsi="宋体" w:eastAsia="宋体" w:cs="宋体"/>
                <w:bCs/>
                <w:iCs/>
                <w:color w:val="auto"/>
                <w:szCs w:val="21"/>
                <w:highlight w:val="none"/>
              </w:rPr>
            </w:pPr>
          </w:p>
        </w:tc>
        <w:tc>
          <w:tcPr>
            <w:tcW w:w="216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p>
        </w:tc>
        <w:tc>
          <w:tcPr>
            <w:tcW w:w="558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ind w:left="10" w:leftChars="5"/>
              <w:jc w:val="left"/>
              <w:rPr>
                <w:rFonts w:hint="eastAsia" w:ascii="宋体" w:hAnsi="宋体" w:eastAsia="宋体" w:cs="宋体"/>
                <w:color w:val="auto"/>
                <w:szCs w:val="21"/>
                <w:highlight w:val="none"/>
              </w:rPr>
            </w:pPr>
          </w:p>
        </w:tc>
        <w:tc>
          <w:tcPr>
            <w:tcW w:w="216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p>
        </w:tc>
        <w:tc>
          <w:tcPr>
            <w:tcW w:w="558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ind w:left="10" w:leftChars="5"/>
              <w:jc w:val="left"/>
              <w:rPr>
                <w:rFonts w:hint="eastAsia" w:ascii="宋体" w:hAnsi="宋体" w:eastAsia="宋体" w:cs="宋体"/>
                <w:bCs/>
                <w:iCs/>
                <w:color w:val="auto"/>
                <w:szCs w:val="21"/>
                <w:highlight w:val="none"/>
              </w:rPr>
            </w:pPr>
          </w:p>
        </w:tc>
        <w:tc>
          <w:tcPr>
            <w:tcW w:w="216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p>
        </w:tc>
        <w:tc>
          <w:tcPr>
            <w:tcW w:w="558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ind w:left="10" w:leftChars="5"/>
              <w:jc w:val="left"/>
              <w:rPr>
                <w:rFonts w:hint="eastAsia" w:ascii="宋体" w:hAnsi="宋体" w:eastAsia="宋体" w:cs="宋体"/>
                <w:color w:val="auto"/>
                <w:szCs w:val="21"/>
                <w:highlight w:val="none"/>
              </w:rPr>
            </w:pPr>
          </w:p>
        </w:tc>
        <w:tc>
          <w:tcPr>
            <w:tcW w:w="216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p>
        </w:tc>
        <w:tc>
          <w:tcPr>
            <w:tcW w:w="558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ind w:left="10" w:leftChars="5"/>
              <w:jc w:val="left"/>
              <w:rPr>
                <w:rFonts w:hint="eastAsia" w:ascii="宋体" w:hAnsi="宋体" w:eastAsia="宋体" w:cs="宋体"/>
                <w:color w:val="auto"/>
                <w:szCs w:val="21"/>
                <w:highlight w:val="none"/>
              </w:rPr>
            </w:pPr>
          </w:p>
        </w:tc>
        <w:tc>
          <w:tcPr>
            <w:tcW w:w="216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p>
        </w:tc>
        <w:tc>
          <w:tcPr>
            <w:tcW w:w="558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ind w:left="10" w:leftChars="5"/>
              <w:jc w:val="left"/>
              <w:rPr>
                <w:rFonts w:hint="eastAsia" w:ascii="宋体" w:hAnsi="宋体" w:eastAsia="宋体" w:cs="宋体"/>
                <w:color w:val="auto"/>
                <w:szCs w:val="21"/>
                <w:highlight w:val="none"/>
              </w:rPr>
            </w:pPr>
          </w:p>
        </w:tc>
        <w:tc>
          <w:tcPr>
            <w:tcW w:w="216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58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ind w:left="10" w:leftChars="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6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pStyle w:val="26"/>
              <w:keepNext w:val="0"/>
              <w:keepLines w:val="0"/>
              <w:pageBreakBefore w:val="0"/>
              <w:widowControl/>
              <w:kinsoku w:val="0"/>
              <w:wordWrap/>
              <w:overflowPunct/>
              <w:topLinePunct w:val="0"/>
              <w:autoSpaceDE w:val="0"/>
              <w:autoSpaceDN w:val="0"/>
              <w:bidi w:val="0"/>
              <w:adjustRightInd/>
              <w:snapToGrid w:val="0"/>
              <w:spacing w:before="0" w:after="0" w:line="360" w:lineRule="auto"/>
              <w:jc w:val="left"/>
              <w:textAlignment w:val="auto"/>
              <w:rPr>
                <w:rFonts w:hint="eastAsia" w:ascii="宋体" w:hAnsi="宋体" w:eastAsia="宋体" w:cs="宋体"/>
                <w:b/>
                <w:bCs/>
                <w:snapToGrid/>
                <w:color w:val="auto"/>
                <w:spacing w:val="0"/>
                <w:kern w:val="2"/>
                <w:sz w:val="21"/>
                <w:szCs w:val="21"/>
                <w:highlight w:val="none"/>
              </w:rPr>
            </w:pPr>
            <w:r>
              <w:rPr>
                <w:rFonts w:hint="eastAsia" w:ascii="宋体" w:hAnsi="宋体" w:eastAsia="宋体" w:cs="宋体"/>
                <w:b/>
                <w:bCs/>
                <w:snapToGrid/>
                <w:color w:val="auto"/>
                <w:spacing w:val="0"/>
                <w:kern w:val="2"/>
                <w:sz w:val="21"/>
                <w:szCs w:val="21"/>
                <w:highlight w:val="none"/>
              </w:rPr>
              <w:t>技术评审分项</w:t>
            </w:r>
          </w:p>
        </w:tc>
        <w:tc>
          <w:tcPr>
            <w:tcW w:w="5580" w:type="dxa"/>
            <w:noWrap w:val="0"/>
            <w:vAlign w:val="center"/>
          </w:tcPr>
          <w:p>
            <w:pPr>
              <w:pStyle w:val="26"/>
              <w:keepNext w:val="0"/>
              <w:keepLines w:val="0"/>
              <w:pageBreakBefore w:val="0"/>
              <w:widowControl/>
              <w:kinsoku w:val="0"/>
              <w:wordWrap/>
              <w:overflowPunct/>
              <w:topLinePunct w:val="0"/>
              <w:autoSpaceDE w:val="0"/>
              <w:autoSpaceDN w:val="0"/>
              <w:bidi w:val="0"/>
              <w:adjustRightInd/>
              <w:snapToGrid w:val="0"/>
              <w:spacing w:before="0" w:after="0" w:line="360" w:lineRule="auto"/>
              <w:ind w:left="10" w:leftChars="5"/>
              <w:jc w:val="center"/>
              <w:textAlignment w:val="auto"/>
              <w:rPr>
                <w:rFonts w:hint="eastAsia" w:ascii="宋体" w:hAnsi="宋体" w:eastAsia="宋体" w:cs="宋体"/>
                <w:b/>
                <w:bCs/>
                <w:snapToGrid/>
                <w:color w:val="auto"/>
                <w:spacing w:val="0"/>
                <w:kern w:val="2"/>
                <w:sz w:val="21"/>
                <w:szCs w:val="21"/>
                <w:highlight w:val="none"/>
              </w:rPr>
            </w:pPr>
            <w:r>
              <w:rPr>
                <w:rFonts w:hint="eastAsia" w:ascii="宋体" w:hAnsi="宋体" w:eastAsia="宋体" w:cs="宋体"/>
                <w:b/>
                <w:bCs/>
                <w:snapToGrid/>
                <w:color w:val="auto"/>
                <w:spacing w:val="0"/>
                <w:kern w:val="2"/>
                <w:sz w:val="21"/>
                <w:szCs w:val="21"/>
                <w:highlight w:val="none"/>
              </w:rPr>
              <w:t>技术评审细则</w:t>
            </w:r>
          </w:p>
        </w:tc>
        <w:tc>
          <w:tcPr>
            <w:tcW w:w="2160" w:type="dxa"/>
            <w:noWrap w:val="0"/>
            <w:vAlign w:val="center"/>
          </w:tcPr>
          <w:p>
            <w:pPr>
              <w:pStyle w:val="26"/>
              <w:keepNext w:val="0"/>
              <w:keepLines w:val="0"/>
              <w:pageBreakBefore w:val="0"/>
              <w:widowControl/>
              <w:kinsoku w:val="0"/>
              <w:wordWrap/>
              <w:overflowPunct/>
              <w:topLinePunct w:val="0"/>
              <w:autoSpaceDE w:val="0"/>
              <w:autoSpaceDN w:val="0"/>
              <w:bidi w:val="0"/>
              <w:adjustRightInd/>
              <w:snapToGrid w:val="0"/>
              <w:spacing w:before="0" w:after="0" w:line="360" w:lineRule="auto"/>
              <w:jc w:val="left"/>
              <w:textAlignment w:val="auto"/>
              <w:rPr>
                <w:rFonts w:hint="eastAsia" w:ascii="宋体" w:hAnsi="宋体" w:eastAsia="宋体" w:cs="宋体"/>
                <w:b/>
                <w:bCs/>
                <w:snapToGrid/>
                <w:color w:val="auto"/>
                <w:spacing w:val="0"/>
                <w:kern w:val="2"/>
                <w:sz w:val="21"/>
                <w:szCs w:val="21"/>
                <w:highlight w:val="none"/>
              </w:rPr>
            </w:pPr>
            <w:r>
              <w:rPr>
                <w:rFonts w:hint="eastAsia" w:ascii="宋体" w:hAnsi="宋体" w:eastAsia="宋体" w:cs="宋体"/>
                <w:b/>
                <w:bCs/>
                <w:snapToGrid/>
                <w:color w:val="auto"/>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p>
        </w:tc>
        <w:tc>
          <w:tcPr>
            <w:tcW w:w="558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ind w:left="10" w:leftChars="5"/>
              <w:jc w:val="left"/>
              <w:rPr>
                <w:rFonts w:hint="eastAsia" w:ascii="宋体" w:hAnsi="宋体" w:eastAsia="宋体" w:cs="宋体"/>
                <w:color w:val="auto"/>
                <w:szCs w:val="21"/>
                <w:highlight w:val="none"/>
              </w:rPr>
            </w:pPr>
          </w:p>
        </w:tc>
        <w:tc>
          <w:tcPr>
            <w:tcW w:w="216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p>
        </w:tc>
        <w:tc>
          <w:tcPr>
            <w:tcW w:w="5580"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ind w:left="10" w:leftChars="5"/>
              <w:jc w:val="left"/>
              <w:rPr>
                <w:rFonts w:hint="eastAsia" w:ascii="宋体" w:hAnsi="宋体" w:eastAsia="宋体" w:cs="宋体"/>
                <w:color w:val="auto"/>
                <w:sz w:val="21"/>
                <w:szCs w:val="21"/>
                <w:highlight w:val="none"/>
              </w:rPr>
            </w:pPr>
          </w:p>
        </w:tc>
        <w:tc>
          <w:tcPr>
            <w:tcW w:w="216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Cs w:val="21"/>
                <w:highlight w:val="none"/>
              </w:rPr>
            </w:pPr>
          </w:p>
        </w:tc>
        <w:tc>
          <w:tcPr>
            <w:tcW w:w="5580"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ind w:left="10" w:leftChars="5"/>
              <w:jc w:val="left"/>
              <w:rPr>
                <w:rFonts w:hint="eastAsia" w:ascii="宋体" w:hAnsi="宋体" w:eastAsia="宋体" w:cs="宋体"/>
                <w:color w:val="auto"/>
                <w:sz w:val="21"/>
                <w:szCs w:val="21"/>
                <w:highlight w:val="none"/>
              </w:rPr>
            </w:pPr>
          </w:p>
        </w:tc>
        <w:tc>
          <w:tcPr>
            <w:tcW w:w="216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p>
        </w:tc>
        <w:tc>
          <w:tcPr>
            <w:tcW w:w="5580"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ind w:left="10" w:leftChars="5"/>
              <w:jc w:val="left"/>
              <w:rPr>
                <w:rFonts w:hint="eastAsia" w:ascii="宋体" w:hAnsi="宋体" w:eastAsia="宋体" w:cs="宋体"/>
                <w:color w:val="auto"/>
                <w:sz w:val="21"/>
                <w:szCs w:val="21"/>
                <w:highlight w:val="none"/>
              </w:rPr>
            </w:pPr>
          </w:p>
        </w:tc>
        <w:tc>
          <w:tcPr>
            <w:tcW w:w="216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p>
        </w:tc>
        <w:tc>
          <w:tcPr>
            <w:tcW w:w="5580"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ind w:left="10" w:leftChars="5"/>
              <w:jc w:val="left"/>
              <w:rPr>
                <w:rFonts w:hint="eastAsia" w:ascii="宋体" w:hAnsi="宋体" w:eastAsia="宋体" w:cs="宋体"/>
                <w:color w:val="auto"/>
                <w:sz w:val="21"/>
                <w:szCs w:val="21"/>
                <w:highlight w:val="none"/>
              </w:rPr>
            </w:pPr>
          </w:p>
        </w:tc>
        <w:tc>
          <w:tcPr>
            <w:tcW w:w="216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p>
        </w:tc>
        <w:tc>
          <w:tcPr>
            <w:tcW w:w="5580"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ind w:left="10" w:leftChars="5"/>
              <w:jc w:val="left"/>
              <w:rPr>
                <w:rFonts w:hint="eastAsia" w:ascii="宋体" w:hAnsi="宋体" w:eastAsia="宋体" w:cs="宋体"/>
                <w:color w:val="auto"/>
                <w:sz w:val="21"/>
                <w:szCs w:val="21"/>
                <w:highlight w:val="none"/>
              </w:rPr>
            </w:pPr>
          </w:p>
        </w:tc>
        <w:tc>
          <w:tcPr>
            <w:tcW w:w="216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58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ind w:left="10" w:leftChars="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60" w:type="dxa"/>
            <w:noWrap w:val="0"/>
            <w:vAlign w:val="center"/>
          </w:tcPr>
          <w:p>
            <w:pPr>
              <w:pStyle w:val="16"/>
              <w:keepNext w:val="0"/>
              <w:keepLines w:val="0"/>
              <w:pageBreakBefore w:val="0"/>
              <w:widowControl/>
              <w:kinsoku w:val="0"/>
              <w:wordWrap/>
              <w:overflowPunct/>
              <w:topLinePunct w:val="0"/>
              <w:autoSpaceDE w:val="0"/>
              <w:autoSpaceDN w:val="0"/>
              <w:bidi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第（）页</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应根据《技术评审表》和《商务评审表》的各项内容填写此表，表格可延长。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2"/>
        <w:jc w:val="left"/>
        <w:outlineLvl w:val="0"/>
        <w:rPr>
          <w:rFonts w:hint="eastAsia" w:ascii="宋体" w:hAnsi="宋体" w:eastAsia="宋体" w:cs="宋体"/>
          <w:color w:val="auto"/>
          <w:sz w:val="21"/>
          <w:szCs w:val="21"/>
          <w:highlight w:val="none"/>
        </w:rPr>
      </w:pPr>
      <w:bookmarkStart w:id="174" w:name="_Toc4667"/>
      <w:bookmarkStart w:id="175" w:name="_Toc14397"/>
      <w:r>
        <w:rPr>
          <w:rFonts w:hint="eastAsia" w:ascii="宋体" w:hAnsi="宋体" w:eastAsia="宋体" w:cs="宋体"/>
          <w:color w:val="auto"/>
          <w:sz w:val="21"/>
          <w:szCs w:val="21"/>
          <w:highlight w:val="none"/>
        </w:rPr>
        <w:t>2、按评审项的顺序填写。</w:t>
      </w:r>
      <w:bookmarkEnd w:id="174"/>
      <w:bookmarkEnd w:id="175"/>
    </w:p>
    <w:p>
      <w:pPr>
        <w:keepNext w:val="0"/>
        <w:keepLines w:val="0"/>
        <w:pageBreakBefore w:val="0"/>
        <w:widowControl/>
        <w:kinsoku w:val="0"/>
        <w:wordWrap/>
        <w:overflowPunct/>
        <w:topLinePunct w:val="0"/>
        <w:autoSpaceDE w:val="0"/>
        <w:autoSpaceDN w:val="0"/>
        <w:bidi w:val="0"/>
        <w:snapToGrid w:val="0"/>
        <w:spacing w:line="360" w:lineRule="auto"/>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snapToGrid w:val="0"/>
        <w:spacing w:line="360" w:lineRule="auto"/>
        <w:rPr>
          <w:rFonts w:hint="eastAsia" w:ascii="宋体" w:hAnsi="宋体" w:eastAsia="宋体" w:cs="宋体"/>
          <w:color w:val="auto"/>
          <w:highlight w:val="none"/>
        </w:rPr>
      </w:pPr>
    </w:p>
    <w:p>
      <w:pPr>
        <w:rPr>
          <w:rFonts w:hint="eastAsia" w:ascii="宋体" w:hAnsi="宋体" w:eastAsia="宋体" w:cs="宋体"/>
          <w:color w:val="auto"/>
          <w:sz w:val="19"/>
          <w:szCs w:val="19"/>
          <w:highlight w:val="none"/>
        </w:rPr>
      </w:pPr>
    </w:p>
    <w:p>
      <w:pPr>
        <w:rPr>
          <w:rFonts w:hint="eastAsia" w:ascii="宋体" w:hAnsi="宋体" w:eastAsia="宋体" w:cs="宋体"/>
          <w:color w:val="auto"/>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highlight w:val="none"/>
        </w:rPr>
      </w:pPr>
    </w:p>
    <w:p>
      <w:pPr>
        <w:rPr>
          <w:rFonts w:hint="eastAsia" w:ascii="宋体" w:hAnsi="宋体" w:eastAsia="宋体" w:cs="宋体"/>
          <w:color w:val="auto"/>
          <w:sz w:val="19"/>
          <w:szCs w:val="19"/>
          <w:highlight w:val="none"/>
        </w:rPr>
      </w:pPr>
    </w:p>
    <w:p>
      <w:pPr>
        <w:pStyle w:val="7"/>
        <w:rPr>
          <w:rFonts w:hint="eastAsia" w:ascii="宋体" w:hAnsi="宋体" w:eastAsia="宋体" w:cs="宋体"/>
          <w:color w:val="auto"/>
          <w:sz w:val="19"/>
          <w:szCs w:val="19"/>
          <w:highlight w:val="none"/>
        </w:rPr>
      </w:pPr>
    </w:p>
    <w:p>
      <w:pPr>
        <w:rPr>
          <w:rFonts w:hint="eastAsia" w:ascii="宋体" w:hAnsi="宋体" w:eastAsia="宋体" w:cs="宋体"/>
          <w:color w:val="auto"/>
          <w:sz w:val="19"/>
          <w:szCs w:val="19"/>
          <w:highlight w:val="none"/>
        </w:rPr>
      </w:pPr>
    </w:p>
    <w:p>
      <w:pPr>
        <w:pStyle w:val="7"/>
        <w:rPr>
          <w:rFonts w:hint="eastAsia" w:ascii="宋体" w:hAnsi="宋体" w:eastAsia="宋体" w:cs="宋体"/>
          <w:color w:val="auto"/>
          <w:sz w:val="19"/>
          <w:szCs w:val="19"/>
          <w:highlight w:val="none"/>
        </w:rPr>
      </w:pPr>
    </w:p>
    <w:p>
      <w:pPr>
        <w:rPr>
          <w:rFonts w:hint="eastAsia" w:ascii="宋体" w:hAnsi="宋体" w:eastAsia="宋体" w:cs="宋体"/>
          <w:color w:val="auto"/>
          <w:sz w:val="19"/>
          <w:szCs w:val="19"/>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176" w:name="_Toc1323"/>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：响应承诺函</w:t>
      </w:r>
      <w:bookmarkEnd w:id="176"/>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177" w:name="_Toc26202"/>
      <w:bookmarkStart w:id="178" w:name="_Toc6155"/>
      <w:r>
        <w:rPr>
          <w:rFonts w:hint="eastAsia" w:ascii="宋体" w:hAnsi="宋体" w:eastAsia="宋体" w:cs="宋体"/>
          <w:b/>
          <w:bCs/>
          <w:color w:val="auto"/>
          <w:sz w:val="21"/>
          <w:szCs w:val="21"/>
          <w:highlight w:val="none"/>
        </w:rPr>
        <w:t>响应承诺函</w:t>
      </w:r>
      <w:bookmarkEnd w:id="177"/>
      <w:bookmarkEnd w:id="178"/>
    </w:p>
    <w:p>
      <w:pPr>
        <w:keepNext w:val="0"/>
        <w:keepLines w:val="0"/>
        <w:pageBreakBefore w:val="0"/>
        <w:widowControl/>
        <w:kinsoku w:val="0"/>
        <w:wordWrap/>
        <w:overflowPunct/>
        <w:topLinePunct w:val="0"/>
        <w:autoSpaceDE w:val="0"/>
        <w:autoSpaceDN w:val="0"/>
        <w:bidi w:val="0"/>
        <w:adjustRightInd w:val="0"/>
        <w:snapToGrid w:val="0"/>
        <w:spacing w:before="221" w:line="360" w:lineRule="auto"/>
        <w:ind w:firstLine="389"/>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致：</w:t>
      </w:r>
      <w:r>
        <w:rPr>
          <w:rFonts w:hint="eastAsia" w:ascii="宋体" w:hAnsi="宋体" w:eastAsia="宋体" w:cs="宋体"/>
          <w:color w:val="auto"/>
          <w:spacing w:val="-8"/>
          <w:sz w:val="21"/>
          <w:szCs w:val="21"/>
          <w:highlight w:val="none"/>
          <w:lang w:eastAsia="zh-CN"/>
        </w:rPr>
        <w:t>东莞市金燕工程管理有限公司</w:t>
      </w:r>
    </w:p>
    <w:p>
      <w:pPr>
        <w:keepNext w:val="0"/>
        <w:keepLines w:val="0"/>
        <w:pageBreakBefore w:val="0"/>
        <w:widowControl/>
        <w:kinsoku w:val="0"/>
        <w:wordWrap/>
        <w:overflowPunct/>
        <w:topLinePunct w:val="0"/>
        <w:autoSpaceDE w:val="0"/>
        <w:autoSpaceDN w:val="0"/>
        <w:bidi w:val="0"/>
        <w:adjustRightInd w:val="0"/>
        <w:snapToGrid w:val="0"/>
        <w:spacing w:before="133" w:line="360" w:lineRule="auto"/>
        <w:ind w:left="6" w:right="24" w:firstLine="3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你方组织的</w:t>
      </w:r>
      <w:r>
        <w:rPr>
          <w:rFonts w:hint="eastAsia" w:ascii="宋体" w:hAnsi="宋体" w:eastAsia="宋体" w:cs="宋体"/>
          <w:color w:val="auto"/>
          <w:spacing w:val="-3"/>
          <w:sz w:val="21"/>
          <w:szCs w:val="21"/>
          <w:highlight w:val="none"/>
          <w:u w:val="single" w:color="auto"/>
          <w:lang w:eastAsia="zh-CN"/>
        </w:rPr>
        <w:t>石龙坑石河西十七巷新建拆迁安置房项目-新增400kVA箱变电站</w:t>
      </w:r>
      <w:r>
        <w:rPr>
          <w:rFonts w:hint="eastAsia" w:ascii="宋体" w:hAnsi="宋体" w:eastAsia="宋体" w:cs="宋体"/>
          <w:color w:val="auto"/>
          <w:spacing w:val="-3"/>
          <w:sz w:val="21"/>
          <w:szCs w:val="21"/>
          <w:highlight w:val="none"/>
        </w:rPr>
        <w:t>[采购项目编号为：</w:t>
      </w:r>
      <w:r>
        <w:rPr>
          <w:rFonts w:hint="eastAsia" w:ascii="宋体" w:hAnsi="宋体" w:eastAsia="宋体" w:cs="宋体"/>
          <w:color w:val="auto"/>
          <w:spacing w:val="-3"/>
          <w:sz w:val="21"/>
          <w:szCs w:val="21"/>
          <w:highlight w:val="none"/>
          <w:u w:val="single" w:color="auto"/>
          <w:lang w:eastAsia="zh-CN"/>
        </w:rPr>
        <w:t>DGJY-2022112779</w:t>
      </w:r>
      <w:r>
        <w:rPr>
          <w:rFonts w:hint="eastAsia" w:ascii="宋体" w:hAnsi="宋体" w:eastAsia="宋体" w:cs="宋体"/>
          <w:color w:val="auto"/>
          <w:spacing w:val="-3"/>
          <w:sz w:val="21"/>
          <w:szCs w:val="21"/>
          <w:highlight w:val="none"/>
        </w:rPr>
        <w:t>]的竞争性磋商，我</w:t>
      </w:r>
      <w:r>
        <w:rPr>
          <w:rFonts w:hint="eastAsia" w:ascii="宋体" w:hAnsi="宋体" w:eastAsia="宋体" w:cs="宋体"/>
          <w:color w:val="auto"/>
          <w:sz w:val="21"/>
          <w:szCs w:val="21"/>
          <w:highlight w:val="none"/>
        </w:rPr>
        <w:t>方愿参与响应。</w:t>
      </w:r>
    </w:p>
    <w:p>
      <w:pPr>
        <w:keepNext w:val="0"/>
        <w:keepLines w:val="0"/>
        <w:pageBreakBefore w:val="0"/>
        <w:widowControl/>
        <w:kinsoku w:val="0"/>
        <w:wordWrap/>
        <w:overflowPunct/>
        <w:topLinePunct w:val="0"/>
        <w:autoSpaceDE w:val="0"/>
        <w:autoSpaceDN w:val="0"/>
        <w:bidi w:val="0"/>
        <w:adjustRightInd w:val="0"/>
        <w:snapToGrid w:val="0"/>
        <w:spacing w:before="54" w:line="360" w:lineRule="auto"/>
        <w:ind w:firstLine="39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我方确认收到贵方提供的</w:t>
      </w:r>
      <w:r>
        <w:rPr>
          <w:rFonts w:hint="eastAsia" w:ascii="宋体" w:hAnsi="宋体" w:eastAsia="宋体" w:cs="宋体"/>
          <w:color w:val="auto"/>
          <w:spacing w:val="1"/>
          <w:sz w:val="21"/>
          <w:szCs w:val="21"/>
          <w:highlight w:val="none"/>
          <w:u w:val="single" w:color="auto"/>
          <w:lang w:eastAsia="zh-CN"/>
        </w:rPr>
        <w:t>石龙坑石河西十七巷新建拆迁安置房项目-新增400kVA箱变电站</w:t>
      </w:r>
      <w:r>
        <w:rPr>
          <w:rFonts w:hint="eastAsia" w:ascii="宋体" w:hAnsi="宋体" w:eastAsia="宋体" w:cs="宋体"/>
          <w:color w:val="auto"/>
          <w:spacing w:val="1"/>
          <w:sz w:val="21"/>
          <w:szCs w:val="21"/>
          <w:highlight w:val="none"/>
        </w:rPr>
        <w:t>的磋商文件的全部内容。</w:t>
      </w:r>
    </w:p>
    <w:p>
      <w:pPr>
        <w:keepNext w:val="0"/>
        <w:keepLines w:val="0"/>
        <w:pageBreakBefore w:val="0"/>
        <w:widowControl/>
        <w:kinsoku w:val="0"/>
        <w:wordWrap/>
        <w:overflowPunct/>
        <w:topLinePunct w:val="0"/>
        <w:autoSpaceDE w:val="0"/>
        <w:autoSpaceDN w:val="0"/>
        <w:bidi w:val="0"/>
        <w:adjustRightInd w:val="0"/>
        <w:snapToGrid w:val="0"/>
        <w:spacing w:before="192" w:line="360" w:lineRule="auto"/>
        <w:ind w:left="20" w:firstLine="37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我方在参与响应前已详细研究了磋商文件的所有内容，包括澄清、修改文件（如果有）和所有已提供的参考资料以及有关</w:t>
      </w:r>
      <w:r>
        <w:rPr>
          <w:rFonts w:hint="eastAsia" w:ascii="宋体" w:hAnsi="宋体" w:eastAsia="宋体" w:cs="宋体"/>
          <w:color w:val="auto"/>
          <w:spacing w:val="1"/>
          <w:sz w:val="21"/>
          <w:szCs w:val="21"/>
          <w:highlight w:val="none"/>
        </w:rPr>
        <w:t>附件，我方完全明白并认为此磋商文件没有倾向性，也不存在排斥潜在供应商的内容，我方同意磋商文件的相关条款，放弃对磋商文件提出误解和质疑的一切权力。</w:t>
      </w:r>
    </w:p>
    <w:p>
      <w:pPr>
        <w:keepNext w:val="0"/>
        <w:keepLines w:val="0"/>
        <w:pageBreakBefore w:val="0"/>
        <w:widowControl/>
        <w:kinsoku w:val="0"/>
        <w:wordWrap/>
        <w:overflowPunct/>
        <w:topLinePunct w:val="0"/>
        <w:autoSpaceDE w:val="0"/>
        <w:autoSpaceDN w:val="0"/>
        <w:bidi w:val="0"/>
        <w:adjustRightInd w:val="0"/>
        <w:snapToGrid w:val="0"/>
        <w:spacing w:before="114" w:line="360" w:lineRule="auto"/>
        <w:ind w:firstLine="39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u w:val="single" w:color="auto"/>
        </w:rPr>
        <w:t>(供应商名称)</w:t>
      </w:r>
      <w:r>
        <w:rPr>
          <w:rFonts w:hint="eastAsia" w:ascii="宋体" w:hAnsi="宋体" w:eastAsia="宋体" w:cs="宋体"/>
          <w:color w:val="auto"/>
          <w:spacing w:val="2"/>
          <w:position w:val="2"/>
          <w:sz w:val="21"/>
          <w:szCs w:val="21"/>
          <w:highlight w:val="none"/>
        </w:rPr>
        <w:t>作为供应商正式授权</w:t>
      </w:r>
      <w:r>
        <w:rPr>
          <w:rFonts w:hint="eastAsia" w:ascii="宋体" w:hAnsi="宋体" w:eastAsia="宋体" w:cs="宋体"/>
          <w:color w:val="auto"/>
          <w:spacing w:val="2"/>
          <w:position w:val="2"/>
          <w:sz w:val="21"/>
          <w:szCs w:val="21"/>
          <w:highlight w:val="none"/>
          <w:u w:val="single" w:color="auto"/>
        </w:rPr>
        <w:t>(授权代表全名,职务)</w:t>
      </w:r>
      <w:r>
        <w:rPr>
          <w:rFonts w:hint="eastAsia" w:ascii="宋体" w:hAnsi="宋体" w:eastAsia="宋体" w:cs="宋体"/>
          <w:color w:val="auto"/>
          <w:spacing w:val="2"/>
          <w:position w:val="2"/>
          <w:sz w:val="21"/>
          <w:szCs w:val="21"/>
          <w:highlight w:val="none"/>
        </w:rPr>
        <w:t>代表我方全权处理有关本响应的一切事宜。</w:t>
      </w: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firstLine="39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我方已完全明白磋商文件的所有条款要求，并申明如下：</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（一）按磋商文件提供的全部货物（工程、服务）与相关服务的磋商总价详见《首轮报价表》。</w:t>
      </w:r>
    </w:p>
    <w:p>
      <w:pPr>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38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（二）本响应文件的有效期为从提交投标（响应）文件的截止之日起90日历天。如成交，有效期将延至合同终止日为</w:t>
      </w:r>
      <w:r>
        <w:rPr>
          <w:rFonts w:hint="eastAsia" w:ascii="宋体" w:hAnsi="宋体" w:eastAsia="宋体" w:cs="宋体"/>
          <w:color w:val="auto"/>
          <w:spacing w:val="1"/>
          <w:sz w:val="21"/>
          <w:szCs w:val="21"/>
          <w:highlight w:val="none"/>
        </w:rPr>
        <w:t>止。在此提交的资格证明文件均至响应截止日有效，如有在响应有效期内失效的，我方承诺在成交后补齐一切手续，保证所有资格证明文件能在签订采购合同时直至采购合同终止日有效。</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0" w:firstLine="3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（三）我方明白并同意，在规定的开启日之后，响应有效期之内撤回响应或成交后不按规定与采购人签订合同或不提交履约保证金,则贵方将不予退还响应保证金。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firstLine="39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3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（五）我方理解贵方不一定接受最低磋商价或任何贵方可能收到的响应。</w:t>
      </w:r>
    </w:p>
    <w:p>
      <w:pPr>
        <w:keepNext w:val="0"/>
        <w:keepLines w:val="0"/>
        <w:pageBreakBefore w:val="0"/>
        <w:widowControl/>
        <w:kinsoku w:val="0"/>
        <w:wordWrap/>
        <w:overflowPunct/>
        <w:topLinePunct w:val="0"/>
        <w:autoSpaceDE w:val="0"/>
        <w:autoSpaceDN w:val="0"/>
        <w:bidi w:val="0"/>
        <w:adjustRightInd w:val="0"/>
        <w:snapToGrid w:val="0"/>
        <w:spacing w:before="174" w:line="360" w:lineRule="auto"/>
        <w:ind w:left="7" w:firstLine="38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（六）我方如果成交，将保证履行磋商文件及其澄清、修改文件（如果有）中的全部责任和义务，按质、按量、按期完成</w:t>
      </w:r>
      <w:r>
        <w:rPr>
          <w:rFonts w:hint="eastAsia" w:ascii="宋体" w:hAnsi="宋体" w:eastAsia="宋体" w:cs="宋体"/>
          <w:color w:val="auto"/>
          <w:spacing w:val="-10"/>
          <w:sz w:val="21"/>
          <w:szCs w:val="21"/>
          <w:highlight w:val="none"/>
        </w:rPr>
        <w:t>《采购需求》及《合同书》中的全部任务。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 w:firstLine="3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（七）我方作为法律、财务和运作上独立于采购人、采购代理机构的供应商，在此保证所提交的所有文件和全部说明是真实的和正确的。</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6" w:firstLine="389"/>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（八）我方磋商报价已包含应向知识产权所有权人支付的所有相关税费，并保证采购人在中国使用我方提供的货物时，如</w:t>
      </w:r>
      <w:r>
        <w:rPr>
          <w:rFonts w:hint="eastAsia" w:ascii="宋体" w:hAnsi="宋体" w:eastAsia="宋体" w:cs="宋体"/>
          <w:color w:val="auto"/>
          <w:spacing w:val="1"/>
          <w:sz w:val="21"/>
          <w:szCs w:val="21"/>
          <w:highlight w:val="none"/>
        </w:rPr>
        <w:t>有第三方提出侵犯其知识产权主张的，责任由我方承担。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389"/>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（九）我方接受采购人委托向贵方支付代理服务费，项目总报价已包含代理服务费，如果被确定为成交供应商，承诺向贵方足额支付。</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3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（十）我方与其他供应商不存在单位负责人为同一人或者存在直接控股、管理关系。</w:t>
      </w:r>
    </w:p>
    <w:p>
      <w:pPr>
        <w:keepNext w:val="0"/>
        <w:keepLines w:val="0"/>
        <w:pageBreakBefore w:val="0"/>
        <w:widowControl/>
        <w:kinsoku w:val="0"/>
        <w:wordWrap/>
        <w:overflowPunct/>
        <w:topLinePunct w:val="0"/>
        <w:autoSpaceDE w:val="0"/>
        <w:autoSpaceDN w:val="0"/>
        <w:bidi w:val="0"/>
        <w:adjustRightInd w:val="0"/>
        <w:snapToGrid w:val="0"/>
        <w:spacing w:before="174" w:line="360" w:lineRule="auto"/>
        <w:ind w:firstLine="3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（十一）我方承诺未为本项目提供整体设计、规范编制或者项目管理、监理、检测等服务。</w:t>
      </w:r>
    </w:p>
    <w:p>
      <w:pPr>
        <w:keepNext w:val="0"/>
        <w:keepLines w:val="0"/>
        <w:pageBreakBefore w:val="0"/>
        <w:widowControl/>
        <w:kinsoku w:val="0"/>
        <w:wordWrap/>
        <w:overflowPunct/>
        <w:topLinePunct w:val="0"/>
        <w:autoSpaceDE w:val="0"/>
        <w:autoSpaceDN w:val="0"/>
        <w:bidi w:val="0"/>
        <w:adjustRightInd w:val="0"/>
        <w:snapToGrid w:val="0"/>
        <w:spacing w:before="192" w:line="360" w:lineRule="auto"/>
        <w:ind w:firstLine="3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（十二）我方未被列入法院失信被执行人名单中。</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（十三）我方具备《政府采购法》第二十二条规定的条件，承诺如下：</w:t>
      </w:r>
    </w:p>
    <w:p>
      <w:pPr>
        <w:keepNext w:val="0"/>
        <w:keepLines w:val="0"/>
        <w:pageBreakBefore w:val="0"/>
        <w:widowControl/>
        <w:kinsoku w:val="0"/>
        <w:wordWrap/>
        <w:overflowPunct/>
        <w:topLinePunct w:val="0"/>
        <w:autoSpaceDE w:val="0"/>
        <w:autoSpaceDN w:val="0"/>
        <w:bidi w:val="0"/>
        <w:adjustRightInd w:val="0"/>
        <w:snapToGrid w:val="0"/>
        <w:spacing w:before="192" w:line="360" w:lineRule="auto"/>
        <w:ind w:left="7" w:right="144" w:firstLine="38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（1）我方参加本项目政府采购活动前3年内在经营活动中没有以下违法记录，或因违法经营被禁止参加政府采购活动的</w:t>
      </w:r>
      <w:r>
        <w:rPr>
          <w:rFonts w:hint="eastAsia" w:ascii="宋体" w:hAnsi="宋体" w:eastAsia="宋体" w:cs="宋体"/>
          <w:color w:val="auto"/>
          <w:spacing w:val="-2"/>
          <w:sz w:val="21"/>
          <w:szCs w:val="21"/>
          <w:highlight w:val="none"/>
        </w:rPr>
        <w:t>期限已届满：因违法经营受到刑事处罚或者责令停产停业、吊销许可证或者执照、较大数额罚款等行政处罚。</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3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（2）我方符合法律、行政法规规定的其他条件。</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以上内容如有虚假或与事实不符的，磋商小组可将我方做无效响应处理，我方愿意承担相应的法律责任。</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14"/>
          <w:sz w:val="21"/>
          <w:szCs w:val="21"/>
          <w:highlight w:val="none"/>
        </w:rPr>
        <w:t>（十四）我方对在本函及响应文件中所作的所有承诺承担法律责任。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（十五）所有与本磋商有关的函件请发往下列地址：</w:t>
      </w:r>
    </w:p>
    <w:p>
      <w:pPr>
        <w:keepNext w:val="0"/>
        <w:keepLines w:val="0"/>
        <w:pageBreakBefore w:val="0"/>
        <w:widowControl/>
        <w:kinsoku w:val="0"/>
        <w:wordWrap/>
        <w:overflowPunct/>
        <w:topLinePunct w:val="0"/>
        <w:autoSpaceDE w:val="0"/>
        <w:autoSpaceDN w:val="0"/>
        <w:bidi w:val="0"/>
        <w:adjustRightInd w:val="0"/>
        <w:snapToGrid w:val="0"/>
        <w:spacing w:before="174" w:line="360" w:lineRule="auto"/>
        <w:ind w:firstLine="38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position w:val="13"/>
          <w:sz w:val="21"/>
          <w:szCs w:val="21"/>
          <w:highlight w:val="none"/>
        </w:rPr>
        <w:t>地址：__________________，邮政编码：__________________</w:t>
      </w:r>
    </w:p>
    <w:p>
      <w:pPr>
        <w:keepNext w:val="0"/>
        <w:keepLines w:val="0"/>
        <w:pageBreakBefore w:val="0"/>
        <w:widowControl/>
        <w:kinsoku w:val="0"/>
        <w:wordWrap/>
        <w:overflowPunct/>
        <w:topLinePunct w:val="0"/>
        <w:autoSpaceDE w:val="0"/>
        <w:autoSpaceDN w:val="0"/>
        <w:bidi w:val="0"/>
        <w:adjustRightInd w:val="0"/>
        <w:snapToGrid w:val="0"/>
        <w:spacing w:before="174" w:line="360" w:lineRule="auto"/>
        <w:ind w:firstLine="389"/>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电话：__________________</w:t>
      </w:r>
    </w:p>
    <w:p>
      <w:pPr>
        <w:keepNext w:val="0"/>
        <w:keepLines w:val="0"/>
        <w:pageBreakBefore w:val="0"/>
        <w:widowControl/>
        <w:kinsoku w:val="0"/>
        <w:wordWrap/>
        <w:overflowPunct/>
        <w:topLinePunct w:val="0"/>
        <w:autoSpaceDE w:val="0"/>
        <w:autoSpaceDN w:val="0"/>
        <w:bidi w:val="0"/>
        <w:adjustRightInd w:val="0"/>
        <w:snapToGrid w:val="0"/>
        <w:spacing w:before="174" w:line="360" w:lineRule="auto"/>
        <w:ind w:firstLine="38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传真：__________________</w:t>
      </w:r>
    </w:p>
    <w:p>
      <w:pPr>
        <w:keepNext w:val="0"/>
        <w:keepLines w:val="0"/>
        <w:pageBreakBefore w:val="0"/>
        <w:widowControl/>
        <w:kinsoku w:val="0"/>
        <w:wordWrap/>
        <w:overflowPunct/>
        <w:topLinePunct w:val="0"/>
        <w:autoSpaceDE w:val="0"/>
        <w:autoSpaceDN w:val="0"/>
        <w:bidi w:val="0"/>
        <w:adjustRightInd w:val="0"/>
        <w:snapToGrid w:val="0"/>
        <w:spacing w:before="174" w:line="360" w:lineRule="auto"/>
        <w:ind w:firstLine="38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代表姓名：__________________，职务：__________________</w:t>
      </w:r>
    </w:p>
    <w:p>
      <w:pPr>
        <w:keepNext w:val="0"/>
        <w:keepLines w:val="0"/>
        <w:pageBreakBefore w:val="0"/>
        <w:widowControl/>
        <w:kinsoku w:val="0"/>
        <w:wordWrap/>
        <w:overflowPunct/>
        <w:topLinePunct w:val="0"/>
        <w:autoSpaceDE w:val="0"/>
        <w:autoSpaceDN w:val="0"/>
        <w:bidi w:val="0"/>
        <w:adjustRightInd w:val="0"/>
        <w:snapToGrid w:val="0"/>
        <w:spacing w:before="164" w:line="360" w:lineRule="auto"/>
        <w:ind w:left="14" w:leftChars="0" w:hanging="14" w:hangingChars="7"/>
        <w:jc w:val="righ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法定代表人或授权委托人（签字</w:t>
      </w:r>
      <w:r>
        <w:rPr>
          <w:rFonts w:hint="eastAsia" w:ascii="宋体" w:hAnsi="宋体" w:eastAsia="宋体" w:cs="宋体"/>
          <w:color w:val="auto"/>
          <w:spacing w:val="-63"/>
          <w:sz w:val="21"/>
          <w:szCs w:val="21"/>
          <w:highlight w:val="none"/>
        </w:rPr>
        <w:t>）：</w:t>
      </w:r>
      <w:r>
        <w:rPr>
          <w:rFonts w:hint="eastAsia" w:ascii="宋体" w:hAnsi="宋体" w:eastAsia="宋体" w:cs="宋体"/>
          <w:color w:val="auto"/>
          <w:spacing w:val="2"/>
          <w:sz w:val="21"/>
          <w:szCs w:val="21"/>
          <w:highlight w:val="none"/>
        </w:rPr>
        <w:t>__________________</w:t>
      </w:r>
    </w:p>
    <w:p>
      <w:pPr>
        <w:keepNext w:val="0"/>
        <w:keepLines w:val="0"/>
        <w:pageBreakBefore w:val="0"/>
        <w:widowControl/>
        <w:kinsoku w:val="0"/>
        <w:wordWrap/>
        <w:overflowPunct/>
        <w:topLinePunct w:val="0"/>
        <w:autoSpaceDE w:val="0"/>
        <w:autoSpaceDN w:val="0"/>
        <w:bidi w:val="0"/>
        <w:adjustRightInd w:val="0"/>
        <w:snapToGrid w:val="0"/>
        <w:spacing w:before="164" w:line="360" w:lineRule="auto"/>
        <w:ind w:left="14" w:leftChars="0" w:hanging="14" w:hangingChars="7"/>
        <w:jc w:val="right"/>
        <w:textAlignment w:val="baseline"/>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加盖公章：__________________</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日期：__________________</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19"/>
          <w:szCs w:val="19"/>
          <w:highlight w:val="none"/>
        </w:rPr>
      </w:pPr>
      <w:r>
        <w:rPr>
          <w:rFonts w:hint="eastAsia" w:ascii="宋体" w:hAnsi="宋体" w:eastAsia="宋体" w:cs="宋体"/>
          <w:color w:val="auto"/>
          <w:spacing w:val="-8"/>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179" w:name="_Toc21470"/>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：首轮报价表</w:t>
      </w:r>
      <w:bookmarkEnd w:id="179"/>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180" w:name="_Toc24253"/>
      <w:bookmarkStart w:id="181" w:name="_Toc24056"/>
      <w:r>
        <w:rPr>
          <w:rFonts w:hint="eastAsia" w:ascii="宋体" w:hAnsi="宋体" w:eastAsia="宋体" w:cs="宋体"/>
          <w:b/>
          <w:bCs/>
          <w:color w:val="auto"/>
          <w:sz w:val="21"/>
          <w:szCs w:val="21"/>
          <w:highlight w:val="none"/>
        </w:rPr>
        <w:t>首轮报价表</w:t>
      </w:r>
      <w:bookmarkEnd w:id="180"/>
      <w:bookmarkEnd w:id="181"/>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firstLine="39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采购项目编号：</w:t>
      </w: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firstLine="39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项目名称：</w:t>
      </w: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firstLine="39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响应供应商名称：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tbl>
      <w:tblPr>
        <w:tblStyle w:val="24"/>
        <w:tblW w:w="96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2906"/>
        <w:gridCol w:w="2016"/>
        <w:gridCol w:w="2041"/>
        <w:gridCol w:w="1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97"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906"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采购项目名称/采购包名称</w:t>
            </w:r>
          </w:p>
        </w:tc>
        <w:tc>
          <w:tcPr>
            <w:tcW w:w="2016"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响应报价（元/%）</w:t>
            </w:r>
          </w:p>
        </w:tc>
        <w:tc>
          <w:tcPr>
            <w:tcW w:w="2041"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交货或服务期</w:t>
            </w:r>
          </w:p>
        </w:tc>
        <w:tc>
          <w:tcPr>
            <w:tcW w:w="1857"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交货或服务地点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97" w:type="dxa"/>
            <w:vMerge w:val="restart"/>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906" w:type="dxa"/>
            <w:vMerge w:val="restart"/>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016" w:type="dxa"/>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小写：</w:t>
            </w:r>
          </w:p>
        </w:tc>
        <w:tc>
          <w:tcPr>
            <w:tcW w:w="2041" w:type="dxa"/>
            <w:vMerge w:val="restart"/>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857" w:type="dxa"/>
            <w:vMerge w:val="restart"/>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97"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90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016" w:type="dxa"/>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大写：</w:t>
            </w:r>
          </w:p>
        </w:tc>
        <w:tc>
          <w:tcPr>
            <w:tcW w:w="2041"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857"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5"/>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rPr>
        <w:t>供应商签章：__________________</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日期：年月日</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pacing w:val="-17"/>
          <w:w w:val="91"/>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7"/>
          <w:w w:val="91"/>
          <w:sz w:val="19"/>
          <w:szCs w:val="19"/>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7"/>
          <w:w w:val="91"/>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182" w:name="_Toc28683"/>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w:t>
      </w:r>
      <w:r>
        <w:rPr>
          <w:rFonts w:hint="eastAsia" w:ascii="宋体" w:hAnsi="宋体" w:eastAsia="宋体" w:cs="宋体"/>
          <w:color w:val="auto"/>
          <w:highlight w:val="none"/>
          <w:lang w:val="zh-CN" w:eastAsia="zh-CN"/>
        </w:rPr>
        <w:t>分项报价表</w:t>
      </w:r>
      <w:bookmarkEnd w:id="182"/>
    </w:p>
    <w:p>
      <w:pPr>
        <w:keepNext w:val="0"/>
        <w:keepLines w:val="0"/>
        <w:pageBreakBefore w:val="0"/>
        <w:widowControl/>
        <w:kinsoku w:val="0"/>
        <w:wordWrap/>
        <w:overflowPunct/>
        <w:topLinePunct w:val="0"/>
        <w:autoSpaceDE w:val="0"/>
        <w:autoSpaceDN w:val="0"/>
        <w:bidi w:val="0"/>
        <w:adjustRightInd w:val="0"/>
        <w:snapToGrid w:val="0"/>
        <w:spacing w:before="209" w:line="360" w:lineRule="auto"/>
        <w:ind w:firstLine="4657"/>
        <w:textAlignment w:val="baseline"/>
        <w:outlineLvl w:val="0"/>
        <w:rPr>
          <w:rFonts w:hint="eastAsia" w:ascii="宋体" w:hAnsi="宋体" w:eastAsia="宋体" w:cs="宋体"/>
          <w:color w:val="auto"/>
          <w:sz w:val="24"/>
          <w:szCs w:val="24"/>
          <w:highlight w:val="none"/>
        </w:rPr>
      </w:pPr>
      <w:bookmarkStart w:id="183" w:name="_Toc8076"/>
      <w:bookmarkStart w:id="184" w:name="_Toc31167"/>
      <w:r>
        <w:rPr>
          <w:rFonts w:hint="eastAsia" w:ascii="宋体" w:hAnsi="宋体" w:eastAsia="宋体" w:cs="宋体"/>
          <w:b/>
          <w:bCs/>
          <w:snapToGrid w:val="0"/>
          <w:color w:val="auto"/>
          <w:kern w:val="0"/>
          <w:sz w:val="24"/>
          <w:szCs w:val="24"/>
          <w:highlight w:val="none"/>
          <w:lang w:val="zh-CN" w:eastAsia="zh-CN" w:bidi="zh-CN"/>
        </w:rPr>
        <w:t>分项报价表</w:t>
      </w:r>
      <w:bookmarkEnd w:id="183"/>
      <w:bookmarkEnd w:id="184"/>
    </w:p>
    <w:p>
      <w:pPr>
        <w:keepNext w:val="0"/>
        <w:keepLines w:val="0"/>
        <w:pageBreakBefore w:val="0"/>
        <w:widowControl/>
        <w:kinsoku w:val="0"/>
        <w:wordWrap/>
        <w:overflowPunct/>
        <w:topLinePunct w:val="0"/>
        <w:autoSpaceDE w:val="0"/>
        <w:autoSpaceDN w:val="0"/>
        <w:bidi w:val="0"/>
        <w:adjustRightInd w:val="0"/>
        <w:snapToGrid w:val="0"/>
        <w:spacing w:before="133" w:line="360" w:lineRule="auto"/>
        <w:ind w:left="6" w:right="24" w:firstLine="384"/>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采购项目编号：</w:t>
      </w:r>
    </w:p>
    <w:p>
      <w:pPr>
        <w:keepNext w:val="0"/>
        <w:keepLines w:val="0"/>
        <w:pageBreakBefore w:val="0"/>
        <w:widowControl/>
        <w:kinsoku w:val="0"/>
        <w:wordWrap/>
        <w:overflowPunct/>
        <w:topLinePunct w:val="0"/>
        <w:autoSpaceDE w:val="0"/>
        <w:autoSpaceDN w:val="0"/>
        <w:bidi w:val="0"/>
        <w:adjustRightInd w:val="0"/>
        <w:snapToGrid w:val="0"/>
        <w:spacing w:before="133" w:line="360" w:lineRule="auto"/>
        <w:ind w:left="6" w:right="24" w:firstLine="384"/>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项目名称：</w:t>
      </w:r>
    </w:p>
    <w:p>
      <w:pPr>
        <w:keepNext w:val="0"/>
        <w:keepLines w:val="0"/>
        <w:pageBreakBefore w:val="0"/>
        <w:widowControl/>
        <w:kinsoku w:val="0"/>
        <w:wordWrap/>
        <w:overflowPunct/>
        <w:topLinePunct w:val="0"/>
        <w:autoSpaceDE w:val="0"/>
        <w:autoSpaceDN w:val="0"/>
        <w:bidi w:val="0"/>
        <w:adjustRightInd w:val="0"/>
        <w:snapToGrid w:val="0"/>
        <w:spacing w:before="133" w:line="360" w:lineRule="auto"/>
        <w:ind w:left="6" w:right="24" w:firstLine="384"/>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响应供应商名称：</w:t>
      </w:r>
    </w:p>
    <w:p>
      <w:pPr>
        <w:keepNext w:val="0"/>
        <w:keepLines w:val="0"/>
        <w:pageBreakBefore w:val="0"/>
        <w:widowControl/>
        <w:kinsoku w:val="0"/>
        <w:wordWrap/>
        <w:overflowPunct/>
        <w:topLinePunct w:val="0"/>
        <w:autoSpaceDE w:val="0"/>
        <w:autoSpaceDN w:val="0"/>
        <w:bidi w:val="0"/>
        <w:adjustRightInd w:val="0"/>
        <w:snapToGrid w:val="0"/>
        <w:spacing w:before="133" w:line="360" w:lineRule="auto"/>
        <w:ind w:left="6" w:right="24" w:firstLine="384"/>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采购包：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tbl>
      <w:tblPr>
        <w:tblStyle w:val="24"/>
        <w:tblW w:w="964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9"/>
        <w:gridCol w:w="828"/>
        <w:gridCol w:w="1379"/>
        <w:gridCol w:w="1161"/>
        <w:gridCol w:w="922"/>
        <w:gridCol w:w="763"/>
        <w:gridCol w:w="1254"/>
        <w:gridCol w:w="701"/>
        <w:gridCol w:w="836"/>
        <w:gridCol w:w="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109"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品目号</w:t>
            </w:r>
          </w:p>
        </w:tc>
        <w:tc>
          <w:tcPr>
            <w:tcW w:w="828"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79"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161"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922"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763"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254"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制造商名称</w:t>
            </w:r>
          </w:p>
        </w:tc>
        <w:tc>
          <w:tcPr>
            <w:tcW w:w="701"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36"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88"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3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1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92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7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5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7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83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6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bl>
      <w:tblPr>
        <w:tblStyle w:val="24"/>
        <w:tblW w:w="96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768"/>
        <w:gridCol w:w="1135"/>
        <w:gridCol w:w="1193"/>
        <w:gridCol w:w="1229"/>
        <w:gridCol w:w="1168"/>
        <w:gridCol w:w="1058"/>
        <w:gridCol w:w="701"/>
        <w:gridCol w:w="750"/>
        <w:gridCol w:w="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25"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品目号</w:t>
            </w:r>
          </w:p>
        </w:tc>
        <w:tc>
          <w:tcPr>
            <w:tcW w:w="768"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35"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1193"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服务范围</w:t>
            </w:r>
          </w:p>
        </w:tc>
        <w:tc>
          <w:tcPr>
            <w:tcW w:w="1229"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tc>
        <w:tc>
          <w:tcPr>
            <w:tcW w:w="1168"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1058"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01"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50"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27"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02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13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1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16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05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7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75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6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pacing w:val="-5"/>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rPr>
        <w:t>供应商签章：__________________</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日期：年月日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7"/>
          <w:w w:val="91"/>
          <w:sz w:val="19"/>
          <w:szCs w:val="19"/>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7"/>
          <w:w w:val="91"/>
          <w:sz w:val="19"/>
          <w:szCs w:val="19"/>
          <w:highlight w:val="none"/>
        </w:rPr>
      </w:pPr>
    </w:p>
    <w:p>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r>
        <w:rPr>
          <w:rFonts w:hint="eastAsia" w:ascii="宋体" w:hAnsi="宋体" w:eastAsia="宋体" w:cs="宋体"/>
          <w:b/>
          <w:bCs/>
          <w:color w:val="auto"/>
          <w:highlight w:val="none"/>
        </w:rPr>
        <w:t>供应商无需填</w:t>
      </w:r>
      <w:r>
        <w:rPr>
          <w:rFonts w:hint="eastAsia" w:ascii="宋体" w:hAnsi="宋体" w:eastAsia="宋体" w:cs="宋体"/>
          <w:b/>
          <w:bCs/>
          <w:color w:val="auto"/>
          <w:highlight w:val="none"/>
          <w:lang w:eastAsia="zh-CN"/>
        </w:rPr>
        <w:t>写“</w:t>
      </w:r>
      <w:r>
        <w:rPr>
          <w:rFonts w:hint="eastAsia" w:ascii="宋体" w:hAnsi="宋体" w:eastAsia="宋体" w:cs="宋体"/>
          <w:b/>
          <w:bCs/>
          <w:color w:val="auto"/>
          <w:highlight w:val="none"/>
          <w:lang w:val="zh-CN" w:eastAsia="zh-CN"/>
        </w:rPr>
        <w:t>分项报价表”</w:t>
      </w:r>
      <w:r>
        <w:rPr>
          <w:rFonts w:hint="eastAsia" w:ascii="宋体" w:hAnsi="宋体" w:eastAsia="宋体" w:cs="宋体"/>
          <w:b/>
          <w:bCs/>
          <w:color w:val="auto"/>
          <w:highlight w:val="none"/>
        </w:rPr>
        <w:t>，待中标后</w:t>
      </w:r>
      <w:r>
        <w:rPr>
          <w:rFonts w:hint="eastAsia" w:ascii="宋体" w:hAnsi="宋体" w:eastAsia="宋体" w:cs="宋体"/>
          <w:b/>
          <w:bCs/>
          <w:color w:val="auto"/>
          <w:highlight w:val="none"/>
          <w:lang w:eastAsia="zh-CN"/>
        </w:rPr>
        <w:t>再</w:t>
      </w:r>
      <w:r>
        <w:rPr>
          <w:rFonts w:hint="eastAsia" w:ascii="宋体" w:hAnsi="宋体" w:eastAsia="宋体" w:cs="宋体"/>
          <w:b/>
          <w:bCs/>
          <w:color w:val="auto"/>
          <w:highlight w:val="none"/>
        </w:rPr>
        <w:t>填写。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185" w:name="_Toc6540"/>
      <w:r>
        <w:rPr>
          <w:rFonts w:hint="eastAsia" w:ascii="宋体" w:hAnsi="宋体" w:eastAsia="宋体" w:cs="宋体"/>
          <w:color w:val="auto"/>
          <w:highlight w:val="none"/>
        </w:rPr>
        <w:t>格式</w:t>
      </w:r>
      <w:r>
        <w:rPr>
          <w:rFonts w:hint="eastAsia" w:cs="宋体"/>
          <w:color w:val="auto"/>
          <w:highlight w:val="none"/>
          <w:lang w:eastAsia="zh-CN"/>
        </w:rPr>
        <w:t>五</w:t>
      </w:r>
      <w:r>
        <w:rPr>
          <w:rFonts w:hint="eastAsia" w:ascii="宋体" w:hAnsi="宋体" w:eastAsia="宋体" w:cs="宋体"/>
          <w:color w:val="auto"/>
          <w:highlight w:val="none"/>
        </w:rPr>
        <w:t>：法定代表人证明书</w:t>
      </w:r>
      <w:bookmarkEnd w:id="185"/>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（供应商可使用下述格式，也可使用广东省工商行政管理局统一印制的法定代表人证明书格式）</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186" w:name="_Toc28337"/>
      <w:bookmarkStart w:id="187" w:name="_Toc2725"/>
      <w:r>
        <w:rPr>
          <w:rFonts w:hint="eastAsia" w:ascii="宋体" w:hAnsi="宋体" w:eastAsia="宋体" w:cs="宋体"/>
          <w:b/>
          <w:bCs/>
          <w:color w:val="auto"/>
          <w:sz w:val="21"/>
          <w:szCs w:val="21"/>
          <w:highlight w:val="none"/>
        </w:rPr>
        <w:t>法定代表人证明书</w:t>
      </w:r>
      <w:bookmarkEnd w:id="186"/>
      <w:bookmarkEnd w:id="187"/>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39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现任我单位_____________职务_____________为法定代表人，特此证明。</w:t>
      </w:r>
    </w:p>
    <w:p>
      <w:pPr>
        <w:keepNext w:val="0"/>
        <w:keepLines w:val="0"/>
        <w:pageBreakBefore w:val="0"/>
        <w:widowControl/>
        <w:kinsoku w:val="0"/>
        <w:wordWrap/>
        <w:overflowPunct/>
        <w:topLinePunct w:val="0"/>
        <w:autoSpaceDE w:val="0"/>
        <w:autoSpaceDN w:val="0"/>
        <w:bidi w:val="0"/>
        <w:adjustRightInd w:val="0"/>
        <w:snapToGrid w:val="0"/>
        <w:spacing w:before="134" w:line="360" w:lineRule="auto"/>
        <w:ind w:firstLine="39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有效期限：__________________</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firstLine="4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position w:val="13"/>
          <w:sz w:val="21"/>
          <w:szCs w:val="21"/>
          <w:highlight w:val="none"/>
        </w:rPr>
        <w:t>附：代表人性别：_____年龄：_________身份证号码：__________________</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38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注册号码：____________________企业类型：____________________________</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firstLine="39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经营范围：__________________________________________________________</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8799" w:leftChars="0" w:hanging="8799" w:hangingChars="4112"/>
        <w:jc w:val="righ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供应商名称（盖章</w:t>
      </w:r>
      <w:r>
        <w:rPr>
          <w:rFonts w:hint="eastAsia" w:ascii="宋体" w:hAnsi="宋体" w:eastAsia="宋体" w:cs="宋体"/>
          <w:color w:val="auto"/>
          <w:spacing w:val="-62"/>
          <w:sz w:val="21"/>
          <w:szCs w:val="21"/>
          <w:highlight w:val="none"/>
        </w:rPr>
        <w:t>）：</w:t>
      </w:r>
      <w:r>
        <w:rPr>
          <w:rFonts w:hint="eastAsia" w:ascii="宋体" w:hAnsi="宋体" w:eastAsia="宋体" w:cs="宋体"/>
          <w:color w:val="auto"/>
          <w:spacing w:val="2"/>
          <w:sz w:val="21"/>
          <w:szCs w:val="21"/>
          <w:highlight w:val="none"/>
        </w:rPr>
        <w:t>__________________</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8141" w:leftChars="0" w:hanging="8141" w:hangingChars="4112"/>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地址：__________________</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8799" w:leftChars="0" w:hanging="8799" w:hangingChars="4112"/>
        <w:jc w:val="right"/>
        <w:textAlignment w:val="baseline"/>
        <w:rPr>
          <w:rFonts w:hint="eastAsia" w:ascii="宋体" w:hAnsi="宋体" w:eastAsia="宋体" w:cs="宋体"/>
          <w:color w:val="auto"/>
          <w:w w:val="101"/>
          <w:sz w:val="21"/>
          <w:szCs w:val="21"/>
          <w:highlight w:val="none"/>
          <w:lang w:eastAsia="zh-CN"/>
        </w:rPr>
      </w:pPr>
      <w:r>
        <w:rPr>
          <w:rFonts w:hint="eastAsia" w:ascii="宋体" w:hAnsi="宋体" w:eastAsia="宋体" w:cs="宋体"/>
          <w:color w:val="auto"/>
          <w:spacing w:val="2"/>
          <w:sz w:val="21"/>
          <w:szCs w:val="21"/>
          <w:highlight w:val="none"/>
        </w:rPr>
        <w:t>法定代表人（签字或盖章</w:t>
      </w:r>
      <w:r>
        <w:rPr>
          <w:rFonts w:hint="eastAsia" w:ascii="宋体" w:hAnsi="宋体" w:eastAsia="宋体" w:cs="宋体"/>
          <w:color w:val="auto"/>
          <w:spacing w:val="-63"/>
          <w:sz w:val="21"/>
          <w:szCs w:val="21"/>
          <w:highlight w:val="none"/>
        </w:rPr>
        <w:t>）：</w:t>
      </w:r>
      <w:r>
        <w:rPr>
          <w:rFonts w:hint="eastAsia" w:ascii="宋体" w:hAnsi="宋体" w:eastAsia="宋体" w:cs="宋体"/>
          <w:color w:val="auto"/>
          <w:spacing w:val="2"/>
          <w:sz w:val="21"/>
          <w:szCs w:val="21"/>
          <w:highlight w:val="none"/>
        </w:rPr>
        <w:t>__________________</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8141" w:leftChars="0" w:hanging="8141" w:hangingChars="4112"/>
        <w:jc w:val="righ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职务：__________________</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8141" w:leftChars="0" w:hanging="8141" w:hangingChars="4112"/>
        <w:jc w:val="right"/>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日期：__________________</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141" w:leftChars="0" w:hanging="8141" w:hangingChars="4112"/>
        <w:jc w:val="right"/>
        <w:textAlignment w:val="baseline"/>
        <w:rPr>
          <w:rFonts w:hint="eastAsia" w:ascii="宋体" w:hAnsi="宋体" w:eastAsia="宋体" w:cs="宋体"/>
          <w:color w:val="auto"/>
          <w:spacing w:val="-6"/>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7319" w:leftChars="0" w:hanging="7319" w:hangingChars="4112"/>
        <w:textAlignment w:val="baseline"/>
        <w:rPr>
          <w:rFonts w:hint="eastAsia" w:ascii="宋体" w:hAnsi="宋体" w:eastAsia="宋体" w:cs="宋体"/>
          <w:color w:val="auto"/>
          <w:spacing w:val="-6"/>
          <w:sz w:val="19"/>
          <w:szCs w:val="19"/>
          <w:highlight w:val="none"/>
        </w:rPr>
      </w:pPr>
    </w:p>
    <w:tbl>
      <w:tblPr>
        <w:tblStyle w:val="19"/>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8521" w:type="dxa"/>
            <w:noWrap w:val="0"/>
            <w:vAlign w:val="top"/>
          </w:tcPr>
          <w:p>
            <w:pPr>
              <w:autoSpaceDE w:val="0"/>
              <w:autoSpaceDN w:val="0"/>
              <w:adjustRightInd w:val="0"/>
              <w:spacing w:line="6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法定代表人身份证复印件（正、反面）粘贴处</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r>
        <w:rPr>
          <w:rFonts w:hint="eastAsia" w:ascii="宋体" w:hAnsi="宋体" w:eastAsia="宋体" w:cs="宋体"/>
          <w:color w:val="auto"/>
          <w:spacing w:val="-6"/>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188" w:name="_Toc12399"/>
      <w:r>
        <w:rPr>
          <w:rFonts w:hint="eastAsia" w:ascii="宋体" w:hAnsi="宋体" w:eastAsia="宋体" w:cs="宋体"/>
          <w:color w:val="auto"/>
          <w:highlight w:val="none"/>
        </w:rPr>
        <w:t>格式</w:t>
      </w:r>
      <w:r>
        <w:rPr>
          <w:rFonts w:hint="eastAsia" w:cs="宋体"/>
          <w:color w:val="auto"/>
          <w:highlight w:val="none"/>
          <w:lang w:eastAsia="zh-CN"/>
        </w:rPr>
        <w:t>六</w:t>
      </w:r>
      <w:r>
        <w:rPr>
          <w:rFonts w:hint="eastAsia" w:ascii="宋体" w:hAnsi="宋体" w:eastAsia="宋体" w:cs="宋体"/>
          <w:color w:val="auto"/>
          <w:highlight w:val="none"/>
        </w:rPr>
        <w:t>：法定代表人授权书</w:t>
      </w:r>
      <w:bookmarkEnd w:id="188"/>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189" w:name="_Toc8513"/>
      <w:bookmarkStart w:id="190" w:name="_Toc17917"/>
      <w:r>
        <w:rPr>
          <w:rFonts w:hint="eastAsia" w:ascii="宋体" w:hAnsi="宋体" w:eastAsia="宋体" w:cs="宋体"/>
          <w:b/>
          <w:bCs/>
          <w:color w:val="auto"/>
          <w:sz w:val="21"/>
          <w:szCs w:val="21"/>
          <w:highlight w:val="none"/>
        </w:rPr>
        <w:t>法定代表人授权书</w:t>
      </w:r>
      <w:bookmarkEnd w:id="189"/>
      <w:bookmarkEnd w:id="190"/>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（对于银行、保险、电信、邮政、铁路等行业以及获得总公司响应授权的分公司，可以提供响应分支机构负责人授权书）</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191" w:name="_Toc32741"/>
      <w:bookmarkStart w:id="192" w:name="_Toc5636"/>
      <w:r>
        <w:rPr>
          <w:rFonts w:hint="eastAsia" w:ascii="宋体" w:hAnsi="宋体" w:eastAsia="宋体" w:cs="宋体"/>
          <w:b/>
          <w:bCs/>
          <w:color w:val="auto"/>
          <w:sz w:val="21"/>
          <w:szCs w:val="21"/>
          <w:highlight w:val="none"/>
        </w:rPr>
        <w:t>法定代表人授权书</w:t>
      </w:r>
      <w:bookmarkEnd w:id="191"/>
      <w:bookmarkEnd w:id="192"/>
    </w:p>
    <w:p>
      <w:pPr>
        <w:keepNext w:val="0"/>
        <w:keepLines w:val="0"/>
        <w:pageBreakBefore w:val="0"/>
        <w:widowControl/>
        <w:kinsoku w:val="0"/>
        <w:wordWrap/>
        <w:overflowPunct/>
        <w:topLinePunct w:val="0"/>
        <w:autoSpaceDE w:val="0"/>
        <w:autoSpaceDN w:val="0"/>
        <w:bidi w:val="0"/>
        <w:adjustRightInd w:val="0"/>
        <w:snapToGrid w:val="0"/>
        <w:spacing w:before="222" w:line="360" w:lineRule="auto"/>
        <w:ind w:firstLine="389"/>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致：</w:t>
      </w:r>
      <w:r>
        <w:rPr>
          <w:rFonts w:hint="eastAsia" w:ascii="宋体" w:hAnsi="宋体" w:eastAsia="宋体" w:cs="宋体"/>
          <w:color w:val="auto"/>
          <w:spacing w:val="-8"/>
          <w:sz w:val="21"/>
          <w:szCs w:val="21"/>
          <w:highlight w:val="none"/>
          <w:lang w:eastAsia="zh-CN"/>
        </w:rPr>
        <w:t>东莞市金燕工程管理有限公司</w:t>
      </w:r>
    </w:p>
    <w:p>
      <w:pPr>
        <w:keepNext w:val="0"/>
        <w:keepLines w:val="0"/>
        <w:pageBreakBefore w:val="0"/>
        <w:widowControl/>
        <w:kinsoku w:val="0"/>
        <w:wordWrap/>
        <w:overflowPunct/>
        <w:topLinePunct w:val="0"/>
        <w:autoSpaceDE w:val="0"/>
        <w:autoSpaceDN w:val="0"/>
        <w:bidi w:val="0"/>
        <w:adjustRightInd w:val="0"/>
        <w:snapToGrid w:val="0"/>
        <w:spacing w:before="192" w:line="360" w:lineRule="auto"/>
        <w:ind w:firstLine="39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本授权书声明：________是注册于</w:t>
      </w:r>
      <w:r>
        <w:rPr>
          <w:rFonts w:hint="eastAsia" w:ascii="宋体" w:hAnsi="宋体" w:eastAsia="宋体" w:cs="宋体"/>
          <w:color w:val="auto"/>
          <w:spacing w:val="-5"/>
          <w:sz w:val="21"/>
          <w:szCs w:val="21"/>
          <w:highlight w:val="none"/>
          <w:u w:val="single" w:color="auto"/>
        </w:rPr>
        <w:t>（国家或地区）</w:t>
      </w:r>
      <w:r>
        <w:rPr>
          <w:rFonts w:hint="eastAsia" w:ascii="宋体" w:hAnsi="宋体" w:eastAsia="宋体" w:cs="宋体"/>
          <w:color w:val="auto"/>
          <w:spacing w:val="-5"/>
          <w:sz w:val="21"/>
          <w:szCs w:val="21"/>
          <w:highlight w:val="none"/>
        </w:rPr>
        <w:t>的</w:t>
      </w:r>
      <w:r>
        <w:rPr>
          <w:rFonts w:hint="eastAsia" w:ascii="宋体" w:hAnsi="宋体" w:eastAsia="宋体" w:cs="宋体"/>
          <w:color w:val="auto"/>
          <w:spacing w:val="-5"/>
          <w:sz w:val="21"/>
          <w:szCs w:val="21"/>
          <w:highlight w:val="none"/>
          <w:u w:val="single" w:color="auto"/>
        </w:rPr>
        <w:t>（供应商名称）</w:t>
      </w:r>
      <w:r>
        <w:rPr>
          <w:rFonts w:hint="eastAsia" w:ascii="宋体" w:hAnsi="宋体" w:eastAsia="宋体" w:cs="宋体"/>
          <w:color w:val="auto"/>
          <w:spacing w:val="-5"/>
          <w:sz w:val="21"/>
          <w:szCs w:val="21"/>
          <w:highlight w:val="none"/>
        </w:rPr>
        <w:t>的法定代表人，现任________职务，有效证件号</w:t>
      </w:r>
      <w:r>
        <w:rPr>
          <w:rFonts w:hint="eastAsia" w:ascii="宋体" w:hAnsi="宋体" w:eastAsia="宋体" w:cs="宋体"/>
          <w:color w:val="auto"/>
          <w:spacing w:val="-3"/>
          <w:sz w:val="21"/>
          <w:szCs w:val="21"/>
          <w:highlight w:val="none"/>
        </w:rPr>
        <w:t>码：________________。现授权</w:t>
      </w:r>
      <w:r>
        <w:rPr>
          <w:rFonts w:hint="eastAsia" w:ascii="宋体" w:hAnsi="宋体" w:eastAsia="宋体" w:cs="宋体"/>
          <w:color w:val="auto"/>
          <w:spacing w:val="-3"/>
          <w:sz w:val="21"/>
          <w:szCs w:val="21"/>
          <w:highlight w:val="none"/>
          <w:u w:val="single" w:color="auto"/>
        </w:rPr>
        <w:t>（姓名、职务）</w:t>
      </w:r>
      <w:r>
        <w:rPr>
          <w:rFonts w:hint="eastAsia" w:ascii="宋体" w:hAnsi="宋体" w:eastAsia="宋体" w:cs="宋体"/>
          <w:color w:val="auto"/>
          <w:spacing w:val="-3"/>
          <w:sz w:val="21"/>
          <w:szCs w:val="21"/>
          <w:highlight w:val="none"/>
        </w:rPr>
        <w:t>作为我公司的全权代理人，就</w:t>
      </w:r>
      <w:r>
        <w:rPr>
          <w:rFonts w:hint="eastAsia" w:ascii="宋体" w:hAnsi="宋体" w:eastAsia="宋体" w:cs="宋体"/>
          <w:color w:val="auto"/>
          <w:spacing w:val="-3"/>
          <w:sz w:val="21"/>
          <w:szCs w:val="21"/>
          <w:highlight w:val="none"/>
          <w:lang w:eastAsia="zh-CN"/>
        </w:rPr>
        <w:t>石龙坑石河西十七巷新建拆迁安置房项目-新增400kVA箱变电站</w:t>
      </w:r>
      <w:r>
        <w:rPr>
          <w:rFonts w:hint="eastAsia" w:ascii="宋体" w:hAnsi="宋体" w:eastAsia="宋体" w:cs="宋体"/>
          <w:color w:val="auto"/>
          <w:spacing w:val="-1"/>
          <w:sz w:val="21"/>
          <w:szCs w:val="21"/>
          <w:highlight w:val="none"/>
        </w:rPr>
        <w:t>采购[采购项目编号为</w:t>
      </w:r>
      <w:r>
        <w:rPr>
          <w:rFonts w:hint="eastAsia" w:ascii="宋体" w:hAnsi="宋体" w:eastAsia="宋体" w:cs="宋体"/>
          <w:color w:val="auto"/>
          <w:spacing w:val="-1"/>
          <w:sz w:val="21"/>
          <w:szCs w:val="21"/>
          <w:highlight w:val="none"/>
          <w:lang w:eastAsia="zh-CN"/>
        </w:rPr>
        <w:t>DGJY-2022112779</w:t>
      </w:r>
      <w:r>
        <w:rPr>
          <w:rFonts w:hint="eastAsia" w:ascii="宋体" w:hAnsi="宋体" w:eastAsia="宋体" w:cs="宋体"/>
          <w:color w:val="auto"/>
          <w:spacing w:val="-1"/>
          <w:sz w:val="21"/>
          <w:szCs w:val="21"/>
          <w:highlight w:val="none"/>
        </w:rPr>
        <w:t>]的响应和合同执行，以我方的名义处理一切与之有关的事宜。</w:t>
      </w:r>
    </w:p>
    <w:p>
      <w:pPr>
        <w:keepNext w:val="0"/>
        <w:keepLines w:val="0"/>
        <w:pageBreakBefore w:val="0"/>
        <w:widowControl/>
        <w:kinsoku w:val="0"/>
        <w:wordWrap/>
        <w:overflowPunct/>
        <w:topLinePunct w:val="0"/>
        <w:autoSpaceDE w:val="0"/>
        <w:autoSpaceDN w:val="0"/>
        <w:bidi w:val="0"/>
        <w:adjustRightInd w:val="0"/>
        <w:snapToGrid w:val="0"/>
        <w:spacing w:before="24" w:line="360" w:lineRule="auto"/>
        <w:ind w:firstLine="39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本授权书于________年________月________日签字生效，特此声明。</w:t>
      </w:r>
    </w:p>
    <w:p>
      <w:pPr>
        <w:keepNext w:val="0"/>
        <w:keepLines w:val="0"/>
        <w:pageBreakBefore w:val="0"/>
        <w:widowControl/>
        <w:kinsoku w:val="0"/>
        <w:wordWrap/>
        <w:overflowPunct/>
        <w:topLinePunct w:val="0"/>
        <w:autoSpaceDE w:val="0"/>
        <w:autoSpaceDN w:val="0"/>
        <w:bidi w:val="0"/>
        <w:adjustRightInd w:val="0"/>
        <w:snapToGrid w:val="0"/>
        <w:spacing w:before="162" w:line="360" w:lineRule="auto"/>
        <w:ind w:left="8801" w:leftChars="0" w:hanging="8801" w:hangingChars="4113"/>
        <w:textAlignment w:val="baseline"/>
        <w:rPr>
          <w:rFonts w:hint="eastAsia" w:ascii="宋体" w:hAnsi="宋体" w:eastAsia="宋体" w:cs="宋体"/>
          <w:color w:val="auto"/>
          <w:spacing w:val="2"/>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62" w:line="360" w:lineRule="auto"/>
        <w:ind w:left="8801" w:leftChars="0" w:hanging="8801" w:hangingChars="4113"/>
        <w:jc w:val="righ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供应商（盖章</w:t>
      </w:r>
      <w:r>
        <w:rPr>
          <w:rFonts w:hint="eastAsia" w:ascii="宋体" w:hAnsi="宋体" w:eastAsia="宋体" w:cs="宋体"/>
          <w:color w:val="auto"/>
          <w:spacing w:val="-62"/>
          <w:sz w:val="21"/>
          <w:szCs w:val="21"/>
          <w:highlight w:val="none"/>
        </w:rPr>
        <w:t>）：</w:t>
      </w:r>
      <w:r>
        <w:rPr>
          <w:rFonts w:hint="eastAsia" w:ascii="宋体" w:hAnsi="宋体" w:eastAsia="宋体" w:cs="宋体"/>
          <w:color w:val="auto"/>
          <w:spacing w:val="2"/>
          <w:sz w:val="21"/>
          <w:szCs w:val="21"/>
          <w:highlight w:val="none"/>
        </w:rPr>
        <w:t>__________________</w:t>
      </w:r>
    </w:p>
    <w:p>
      <w:pPr>
        <w:keepNext w:val="0"/>
        <w:keepLines w:val="0"/>
        <w:pageBreakBefore w:val="0"/>
        <w:widowControl/>
        <w:kinsoku w:val="0"/>
        <w:wordWrap/>
        <w:overflowPunct/>
        <w:topLinePunct w:val="0"/>
        <w:autoSpaceDE w:val="0"/>
        <w:autoSpaceDN w:val="0"/>
        <w:bidi w:val="0"/>
        <w:adjustRightInd w:val="0"/>
        <w:snapToGrid w:val="0"/>
        <w:spacing w:before="162" w:line="360" w:lineRule="auto"/>
        <w:ind w:left="8143" w:leftChars="0" w:hanging="8143" w:hangingChars="4113"/>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地址：__________________</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8801" w:leftChars="0" w:hanging="8801" w:hangingChars="4113"/>
        <w:jc w:val="right"/>
        <w:textAlignment w:val="baseline"/>
        <w:rPr>
          <w:rFonts w:hint="eastAsia" w:ascii="宋体" w:hAnsi="宋体" w:eastAsia="宋体" w:cs="宋体"/>
          <w:color w:val="auto"/>
          <w:w w:val="101"/>
          <w:sz w:val="21"/>
          <w:szCs w:val="21"/>
          <w:highlight w:val="none"/>
          <w:lang w:eastAsia="zh-CN"/>
        </w:rPr>
      </w:pPr>
      <w:r>
        <w:rPr>
          <w:rFonts w:hint="eastAsia" w:ascii="宋体" w:hAnsi="宋体" w:eastAsia="宋体" w:cs="宋体"/>
          <w:color w:val="auto"/>
          <w:spacing w:val="2"/>
          <w:sz w:val="21"/>
          <w:szCs w:val="21"/>
          <w:highlight w:val="none"/>
        </w:rPr>
        <w:t>法定代表人（签字或盖章</w:t>
      </w:r>
      <w:r>
        <w:rPr>
          <w:rFonts w:hint="eastAsia" w:ascii="宋体" w:hAnsi="宋体" w:eastAsia="宋体" w:cs="宋体"/>
          <w:color w:val="auto"/>
          <w:spacing w:val="-63"/>
          <w:sz w:val="21"/>
          <w:szCs w:val="21"/>
          <w:highlight w:val="none"/>
        </w:rPr>
        <w:t>）：</w:t>
      </w:r>
      <w:r>
        <w:rPr>
          <w:rFonts w:hint="eastAsia" w:ascii="宋体" w:hAnsi="宋体" w:eastAsia="宋体" w:cs="宋体"/>
          <w:color w:val="auto"/>
          <w:spacing w:val="2"/>
          <w:sz w:val="21"/>
          <w:szCs w:val="21"/>
          <w:highlight w:val="none"/>
        </w:rPr>
        <w:t>__________________</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8143" w:leftChars="0" w:hanging="8143" w:hangingChars="4113"/>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职务：__________________</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8801" w:leftChars="0" w:hanging="8801" w:hangingChars="4113"/>
        <w:jc w:val="righ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被授权人（签字或盖章</w:t>
      </w:r>
      <w:r>
        <w:rPr>
          <w:rFonts w:hint="eastAsia" w:ascii="宋体" w:hAnsi="宋体" w:eastAsia="宋体" w:cs="宋体"/>
          <w:color w:val="auto"/>
          <w:spacing w:val="-62"/>
          <w:sz w:val="21"/>
          <w:szCs w:val="21"/>
          <w:highlight w:val="none"/>
        </w:rPr>
        <w:t>）：</w:t>
      </w:r>
      <w:r>
        <w:rPr>
          <w:rFonts w:hint="eastAsia" w:ascii="宋体" w:hAnsi="宋体" w:eastAsia="宋体" w:cs="宋体"/>
          <w:color w:val="auto"/>
          <w:spacing w:val="2"/>
          <w:sz w:val="21"/>
          <w:szCs w:val="21"/>
          <w:highlight w:val="none"/>
        </w:rPr>
        <w:t>__________________</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8143" w:leftChars="0" w:hanging="8143" w:hangingChars="4113"/>
        <w:jc w:val="righ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职务：__________________</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8143" w:leftChars="0" w:hanging="8143" w:hangingChars="4113"/>
        <w:jc w:val="right"/>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日期：__________________</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143" w:leftChars="0" w:hanging="8143" w:hangingChars="4113"/>
        <w:textAlignment w:val="baseline"/>
        <w:rPr>
          <w:rFonts w:hint="eastAsia" w:ascii="宋体" w:hAnsi="宋体" w:eastAsia="宋体" w:cs="宋体"/>
          <w:color w:val="auto"/>
          <w:spacing w:val="-6"/>
          <w:sz w:val="21"/>
          <w:szCs w:val="21"/>
          <w:highlight w:val="none"/>
        </w:rPr>
      </w:pPr>
    </w:p>
    <w:tbl>
      <w:tblPr>
        <w:tblStyle w:val="19"/>
        <w:tblpPr w:leftFromText="180" w:rightFromText="180" w:vertAnchor="text" w:horzAnchor="page" w:tblpXSpec="center" w:tblpY="5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8288" w:type="dxa"/>
            <w:noWrap w:val="0"/>
            <w:vAlign w:val="top"/>
          </w:tcPr>
          <w:p>
            <w:pPr>
              <w:autoSpaceDE w:val="0"/>
              <w:autoSpaceDN w:val="0"/>
              <w:adjustRightInd w:val="0"/>
              <w:spacing w:line="6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授权代表人身份证复印件（正、反面）粘贴处</w:t>
            </w:r>
          </w:p>
        </w:tc>
      </w:tr>
    </w:tbl>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r>
        <w:rPr>
          <w:rFonts w:hint="eastAsia" w:ascii="宋体" w:hAnsi="宋体" w:eastAsia="宋体" w:cs="宋体"/>
          <w:color w:val="auto"/>
          <w:spacing w:val="-6"/>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193" w:name="_Toc2463"/>
      <w:r>
        <w:rPr>
          <w:rFonts w:hint="eastAsia" w:ascii="宋体" w:hAnsi="宋体" w:eastAsia="宋体" w:cs="宋体"/>
          <w:color w:val="auto"/>
          <w:highlight w:val="none"/>
        </w:rPr>
        <w:t>格式</w:t>
      </w:r>
      <w:r>
        <w:rPr>
          <w:rFonts w:hint="eastAsia" w:cs="宋体"/>
          <w:color w:val="auto"/>
          <w:highlight w:val="none"/>
          <w:lang w:eastAsia="zh-CN"/>
        </w:rPr>
        <w:t>七</w:t>
      </w:r>
      <w:r>
        <w:rPr>
          <w:rFonts w:hint="eastAsia" w:ascii="宋体" w:hAnsi="宋体" w:eastAsia="宋体" w:cs="宋体"/>
          <w:color w:val="auto"/>
          <w:highlight w:val="none"/>
        </w:rPr>
        <w:t>：</w:t>
      </w:r>
      <w:bookmarkEnd w:id="193"/>
      <w:r>
        <w:rPr>
          <w:rFonts w:hint="eastAsia" w:ascii="宋体" w:hAnsi="宋体" w:eastAsia="宋体" w:cs="宋体"/>
          <w:color w:val="auto"/>
          <w:highlight w:val="none"/>
        </w:rPr>
        <w:t>保证金汇入情况说明</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响应文件要求递交响应保证金的，供应商应在此提供保证金的凭证的复印件。</w:t>
      </w:r>
    </w:p>
    <w:p>
      <w:pPr>
        <w:pStyle w:val="27"/>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jc w:val="center"/>
        <w:textAlignment w:val="baseline"/>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保证金汇入情况说明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东莞市金燕工程管理有限公司</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本单位已按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采购编号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）的磋商文件要求，于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日前以</w:t>
      </w:r>
      <w:r>
        <w:rPr>
          <w:rFonts w:hint="eastAsia" w:ascii="宋体" w:hAnsi="宋体" w:eastAsia="宋体" w:cs="宋体"/>
          <w:color w:val="auto"/>
          <w:sz w:val="21"/>
          <w:szCs w:val="21"/>
          <w:highlight w:val="none"/>
          <w:u w:val="single"/>
        </w:rPr>
        <w:t xml:space="preserve">           （付款形式）</w:t>
      </w:r>
      <w:r>
        <w:rPr>
          <w:rFonts w:hint="eastAsia" w:ascii="宋体" w:hAnsi="宋体" w:eastAsia="宋体" w:cs="宋体"/>
          <w:color w:val="auto"/>
          <w:sz w:val="21"/>
          <w:szCs w:val="21"/>
          <w:highlight w:val="none"/>
        </w:rPr>
        <w:t>方式汇入指定帐户（帐户名称：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，帐号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本单位磋商保证金的汇款情况：（详见附件－磋商保证金进帐单）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汇出时间：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汇款金额：（大写）人民币       元整（小写：￥      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汇款帐户名称：</w:t>
      </w:r>
      <w:bookmarkStart w:id="194" w:name="_Hlk488267887"/>
      <w:r>
        <w:rPr>
          <w:rFonts w:hint="eastAsia" w:ascii="宋体" w:hAnsi="宋体" w:eastAsia="宋体" w:cs="宋体"/>
          <w:color w:val="auto"/>
          <w:sz w:val="21"/>
          <w:szCs w:val="21"/>
          <w:highlight w:val="none"/>
          <w:u w:val="single"/>
        </w:rPr>
        <w:t xml:space="preserve">  （必须是磋商时使用的帐户名）   </w:t>
      </w:r>
      <w:bookmarkEnd w:id="19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r>
        <w:rPr>
          <w:rFonts w:hint="eastAsia" w:ascii="宋体" w:hAnsi="宋体" w:eastAsia="宋体" w:cs="宋体"/>
          <w:color w:val="auto"/>
          <w:sz w:val="21"/>
          <w:szCs w:val="21"/>
          <w:highlight w:val="none"/>
          <w:u w:val="single"/>
        </w:rPr>
        <w:t xml:space="preserve">  （必须是磋商时使用的帐号）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本单位谨承诺上述资料是正确、真实的，如因上述证明与事实不符导致的一切损失，本单位保证承担赔偿等一切法律责任。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磋商保证金退回时，请按上述资料退回。</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844" w:rightChars="402"/>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628" w:rightChars="299"/>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25"/>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r>
        <w:rPr>
          <w:rFonts w:hint="eastAsia" w:ascii="宋体" w:hAnsi="宋体" w:eastAsia="宋体" w:cs="宋体"/>
          <w:color w:val="auto"/>
          <w:sz w:val="21"/>
          <w:szCs w:val="21"/>
          <w:highlight w:val="none"/>
          <w:u w:val="single"/>
        </w:rPr>
        <w:t xml:space="preserve">           </w:t>
      </w:r>
      <w:r>
        <w:rPr>
          <w:rStyle w:val="25"/>
          <w:rFonts w:hint="eastAsia" w:ascii="宋体" w:hAnsi="宋体" w:eastAsia="宋体" w:cs="宋体"/>
          <w:color w:val="auto"/>
          <w:sz w:val="21"/>
          <w:szCs w:val="21"/>
          <w:highlight w:val="none"/>
        </w:rPr>
        <w:t>（盖章）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联系人手机：</w:t>
      </w:r>
      <w:r>
        <w:rPr>
          <w:rFonts w:hint="eastAsia" w:ascii="宋体" w:hAnsi="宋体" w:eastAsia="宋体" w:cs="宋体"/>
          <w:color w:val="auto"/>
          <w:sz w:val="21"/>
          <w:szCs w:val="21"/>
          <w:highlight w:val="none"/>
          <w:u w:val="single"/>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r>
        <w:rPr>
          <w:rFonts w:hint="eastAsia" w:ascii="宋体" w:hAnsi="宋体" w:eastAsia="宋体" w:cs="宋体"/>
          <w:color w:val="auto"/>
          <w:spacing w:val="-6"/>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195" w:name="_Toc3857"/>
      <w:r>
        <w:rPr>
          <w:rFonts w:hint="eastAsia" w:ascii="宋体" w:hAnsi="宋体" w:eastAsia="宋体" w:cs="宋体"/>
          <w:color w:val="auto"/>
          <w:highlight w:val="none"/>
        </w:rPr>
        <w:t>格式</w:t>
      </w:r>
      <w:r>
        <w:rPr>
          <w:rFonts w:hint="eastAsia" w:cs="宋体"/>
          <w:color w:val="auto"/>
          <w:highlight w:val="none"/>
          <w:lang w:eastAsia="zh-CN"/>
        </w:rPr>
        <w:t>八</w:t>
      </w:r>
      <w:r>
        <w:rPr>
          <w:rFonts w:hint="eastAsia" w:ascii="宋体" w:hAnsi="宋体" w:eastAsia="宋体" w:cs="宋体"/>
          <w:color w:val="auto"/>
          <w:highlight w:val="none"/>
        </w:rPr>
        <w:t>：提供具有独立承担民事责任的能力的证明材料</w:t>
      </w:r>
      <w:bookmarkEnd w:id="195"/>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提供具有独立承担民事责任的能力的证明材料</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6"/>
          <w:sz w:val="19"/>
          <w:szCs w:val="19"/>
          <w:highlight w:val="none"/>
        </w:rPr>
      </w:pPr>
      <w:r>
        <w:rPr>
          <w:rFonts w:hint="eastAsia" w:ascii="宋体" w:hAnsi="宋体" w:eastAsia="宋体" w:cs="宋体"/>
          <w:color w:val="auto"/>
          <w:spacing w:val="-6"/>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196" w:name="_Toc6094"/>
      <w:r>
        <w:rPr>
          <w:rFonts w:hint="eastAsia" w:ascii="宋体" w:hAnsi="宋体" w:eastAsia="宋体" w:cs="宋体"/>
          <w:color w:val="auto"/>
          <w:highlight w:val="none"/>
        </w:rPr>
        <w:t>格式</w:t>
      </w:r>
      <w:r>
        <w:rPr>
          <w:rFonts w:hint="eastAsia" w:cs="宋体"/>
          <w:color w:val="auto"/>
          <w:highlight w:val="none"/>
          <w:lang w:eastAsia="zh-CN"/>
        </w:rPr>
        <w:t>九</w:t>
      </w:r>
      <w:r>
        <w:rPr>
          <w:rFonts w:hint="eastAsia" w:ascii="宋体" w:hAnsi="宋体" w:eastAsia="宋体" w:cs="宋体"/>
          <w:color w:val="auto"/>
          <w:highlight w:val="none"/>
        </w:rPr>
        <w:t>：资格性审查要求的其他资质证明文件</w:t>
      </w:r>
      <w:bookmarkEnd w:id="196"/>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197" w:name="_Toc30231"/>
      <w:bookmarkStart w:id="198" w:name="_Toc28349"/>
      <w:r>
        <w:rPr>
          <w:rFonts w:hint="eastAsia" w:ascii="宋体" w:hAnsi="宋体" w:eastAsia="宋体" w:cs="宋体"/>
          <w:b/>
          <w:bCs/>
          <w:color w:val="auto"/>
          <w:sz w:val="21"/>
          <w:szCs w:val="21"/>
          <w:highlight w:val="none"/>
        </w:rPr>
        <w:t>资格性审查要求的其他资质证明文件</w:t>
      </w:r>
      <w:bookmarkEnd w:id="197"/>
      <w:bookmarkEnd w:id="198"/>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详见资格性条款要求</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设备及专业技术能力情况表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tbl>
      <w:tblPr>
        <w:tblStyle w:val="24"/>
        <w:tblW w:w="95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4357"/>
        <w:gridCol w:w="2397"/>
        <w:gridCol w:w="1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531" w:type="dxa"/>
            <w:gridSpan w:val="4"/>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我单位为本项目实施提供以下设备和专业技术人员：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313"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357"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设备名称或专业技术人员</w:t>
            </w:r>
          </w:p>
        </w:tc>
        <w:tc>
          <w:tcPr>
            <w:tcW w:w="2397"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数量及单位</w:t>
            </w:r>
          </w:p>
        </w:tc>
        <w:tc>
          <w:tcPr>
            <w:tcW w:w="1464"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31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35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39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31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35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39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31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35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39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31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435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39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19"/>
          <w:szCs w:val="19"/>
          <w:highlight w:val="none"/>
        </w:rPr>
      </w:pPr>
      <w:r>
        <w:rPr>
          <w:rFonts w:hint="eastAsia" w:ascii="宋体" w:hAnsi="宋体" w:eastAsia="宋体" w:cs="宋体"/>
          <w:color w:val="auto"/>
          <w:spacing w:val="-8"/>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199" w:name="_Toc9709"/>
      <w:r>
        <w:rPr>
          <w:rFonts w:hint="eastAsia" w:ascii="宋体" w:hAnsi="宋体" w:eastAsia="宋体" w:cs="宋体"/>
          <w:color w:val="auto"/>
          <w:highlight w:val="none"/>
        </w:rPr>
        <w:t>格式十：联合体共同响应协议书</w:t>
      </w:r>
      <w:bookmarkEnd w:id="199"/>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（以下格式文件由供应商根据需要选用）</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200" w:name="_Toc27764"/>
      <w:bookmarkStart w:id="201" w:name="_Toc22981"/>
      <w:r>
        <w:rPr>
          <w:rFonts w:hint="eastAsia" w:ascii="宋体" w:hAnsi="宋体" w:eastAsia="宋体" w:cs="宋体"/>
          <w:b/>
          <w:bCs/>
          <w:color w:val="auto"/>
          <w:sz w:val="21"/>
          <w:szCs w:val="21"/>
          <w:highlight w:val="none"/>
        </w:rPr>
        <w:t>联合体共同响应协议书</w:t>
      </w:r>
      <w:bookmarkEnd w:id="200"/>
      <w:bookmarkEnd w:id="201"/>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lang w:eastAsia="zh-CN"/>
        </w:rPr>
      </w:pPr>
      <w:r>
        <w:rPr>
          <w:rFonts w:hint="eastAsia" w:ascii="宋体" w:hAnsi="宋体" w:eastAsia="宋体" w:cs="宋体"/>
          <w:color w:val="auto"/>
          <w:spacing w:val="-2"/>
          <w:position w:val="14"/>
          <w:sz w:val="21"/>
          <w:szCs w:val="21"/>
          <w:highlight w:val="none"/>
        </w:rPr>
        <w:t>立约方：</w:t>
      </w:r>
      <w:r>
        <w:rPr>
          <w:rFonts w:hint="eastAsia" w:ascii="宋体" w:hAnsi="宋体" w:eastAsia="宋体" w:cs="宋体"/>
          <w:color w:val="auto"/>
          <w:spacing w:val="-2"/>
          <w:position w:val="14"/>
          <w:sz w:val="21"/>
          <w:szCs w:val="21"/>
          <w:highlight w:val="none"/>
          <w:u w:val="single"/>
        </w:rPr>
        <w:t>（甲公司全称）</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u w:val="single"/>
          <w:lang w:eastAsia="zh-CN"/>
        </w:rPr>
      </w:pPr>
      <w:r>
        <w:rPr>
          <w:rFonts w:hint="eastAsia" w:ascii="宋体" w:hAnsi="宋体" w:eastAsia="宋体" w:cs="宋体"/>
          <w:color w:val="auto"/>
          <w:spacing w:val="-2"/>
          <w:position w:val="14"/>
          <w:sz w:val="21"/>
          <w:szCs w:val="21"/>
          <w:highlight w:val="none"/>
          <w:u w:val="single"/>
        </w:rPr>
        <w:tab/>
      </w:r>
      <w:r>
        <w:rPr>
          <w:rFonts w:hint="eastAsia" w:ascii="宋体" w:hAnsi="宋体" w:eastAsia="宋体" w:cs="宋体"/>
          <w:color w:val="auto"/>
          <w:spacing w:val="-2"/>
          <w:position w:val="14"/>
          <w:sz w:val="21"/>
          <w:szCs w:val="21"/>
          <w:highlight w:val="none"/>
          <w:u w:val="single"/>
        </w:rPr>
        <w:t>（乙公司全称）</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u w:val="single"/>
          <w:lang w:eastAsia="zh-CN"/>
        </w:rPr>
      </w:pPr>
      <w:r>
        <w:rPr>
          <w:rFonts w:hint="eastAsia" w:ascii="宋体" w:hAnsi="宋体" w:eastAsia="宋体" w:cs="宋体"/>
          <w:color w:val="auto"/>
          <w:spacing w:val="-2"/>
          <w:position w:val="14"/>
          <w:sz w:val="21"/>
          <w:szCs w:val="21"/>
          <w:highlight w:val="none"/>
          <w:u w:val="single"/>
        </w:rPr>
        <w:tab/>
      </w:r>
      <w:r>
        <w:rPr>
          <w:rFonts w:hint="eastAsia" w:ascii="宋体" w:hAnsi="宋体" w:eastAsia="宋体" w:cs="宋体"/>
          <w:color w:val="auto"/>
          <w:spacing w:val="-2"/>
          <w:position w:val="14"/>
          <w:sz w:val="21"/>
          <w:szCs w:val="21"/>
          <w:highlight w:val="none"/>
          <w:u w:val="single"/>
        </w:rPr>
        <w:t>（……公司全称）</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ab/>
      </w:r>
      <w:r>
        <w:rPr>
          <w:rFonts w:hint="eastAsia" w:ascii="宋体" w:hAnsi="宋体" w:eastAsia="宋体" w:cs="宋体"/>
          <w:color w:val="auto"/>
          <w:spacing w:val="-2"/>
          <w:position w:val="14"/>
          <w:sz w:val="21"/>
          <w:szCs w:val="21"/>
          <w:highlight w:val="none"/>
          <w:u w:val="single"/>
        </w:rPr>
        <w:t>（甲公司全称）、（乙公司全称）、（……公司全称）</w:t>
      </w:r>
      <w:r>
        <w:rPr>
          <w:rFonts w:hint="eastAsia" w:ascii="宋体" w:hAnsi="宋体" w:eastAsia="宋体" w:cs="宋体"/>
          <w:color w:val="auto"/>
          <w:spacing w:val="-2"/>
          <w:position w:val="14"/>
          <w:sz w:val="21"/>
          <w:szCs w:val="21"/>
          <w:highlight w:val="none"/>
        </w:rPr>
        <w:t>自愿组成联合体，以一个供应商的身份共同参加（采购项目名称）（采购项目编号）的响应活动。经各方充分协商一致，就项目的响应和合同实施阶段的有关事务协商一致订立协议如下：</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一、联合体各方关系</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ab/>
      </w:r>
      <w:r>
        <w:rPr>
          <w:rFonts w:hint="eastAsia" w:ascii="宋体" w:hAnsi="宋体" w:eastAsia="宋体" w:cs="宋体"/>
          <w:color w:val="auto"/>
          <w:spacing w:val="-2"/>
          <w:position w:val="14"/>
          <w:sz w:val="21"/>
          <w:szCs w:val="21"/>
          <w:highlight w:val="none"/>
          <w:u w:val="single"/>
        </w:rPr>
        <w:t>（甲公司全称）、（乙公司全称）、（……公司全称）</w:t>
      </w:r>
      <w:r>
        <w:rPr>
          <w:rFonts w:hint="eastAsia" w:ascii="宋体" w:hAnsi="宋体" w:eastAsia="宋体" w:cs="宋体"/>
          <w:color w:val="auto"/>
          <w:spacing w:val="-2"/>
          <w:position w:val="14"/>
          <w:sz w:val="21"/>
          <w:szCs w:val="21"/>
          <w:highlight w:val="none"/>
        </w:rPr>
        <w:t>共同组成一个联合体，以一个供应商的身份共同参加本项目的响应。（甲公司全称）、（乙公司全称）、（……公司全称）作为联合体成员，若成交，联合体各方共同与签订政府采购合同。</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二、联合体内部有关事项约定如下：</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1.（甲公司全称）作为联合体的牵头单位，代表联合体双方负责响应和合同实施阶段的主办、协调工作。</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2.联合体将严格按照文件的各项要求，递交响应文件，切实执行一切合同文件，共同承担合同规定的一切义务和责任，同时按照内部职责的划分，承担自身所负的责任和风险，在法律在承担连带责任。</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3.如果本联合体成交，（甲公司全称）负责本项目___________部分，（乙公司全称）负责本项目___________部分。</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4.如成交，联合体各方共同与（采购人）签订合同书，并就成交项目向采购人负责有连带的和各自的法律责任；</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14"/>
          <w:sz w:val="21"/>
          <w:szCs w:val="21"/>
          <w:highlight w:val="none"/>
        </w:rPr>
        <w:t>5.联合体成员（公司全称）为（请填写：小型、微型）企业，将承担合同总金额____%的工作内容（联合体成员中有小型、微型企业时适用）</w:t>
      </w:r>
      <w:r>
        <w:rPr>
          <w:rFonts w:hint="eastAsia" w:ascii="宋体" w:hAnsi="宋体" w:eastAsia="宋体" w:cs="宋体"/>
          <w:color w:val="auto"/>
          <w:spacing w:val="-9"/>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四、联合体如因违约过失责任而导致采购人经济损失或被索赔时，本联合体任何一方均同意无条件优先清偿采购人的一切债务和经济赔偿。</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五、本协议在自签署之日起生效，有效期内有效，如获成交资格，合同有效期延续至合同履行完毕之日。</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六、本协议书正本一式____份，随响应文件装订____份，送采购人____份，联合体成员各一份；副本一式____份，联合体成员各执____份。</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甲公司全称：____（盖章）________，乙公司全称：____（盖章）________，……公司全称：____（盖章）________，</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jc w:val="right"/>
        <w:textAlignment w:val="baseline"/>
        <w:rPr>
          <w:rFonts w:hint="eastAsia" w:ascii="宋体" w:hAnsi="宋体" w:eastAsia="宋体" w:cs="宋体"/>
          <w:color w:val="auto"/>
          <w:spacing w:val="-2"/>
          <w:position w:val="14"/>
          <w:sz w:val="21"/>
          <w:szCs w:val="21"/>
          <w:highlight w:val="none"/>
          <w:lang w:eastAsia="zh-CN"/>
        </w:rPr>
      </w:pPr>
      <w:r>
        <w:rPr>
          <w:rFonts w:hint="eastAsia" w:ascii="宋体" w:hAnsi="宋体" w:eastAsia="宋体" w:cs="宋体"/>
          <w:color w:val="auto"/>
          <w:spacing w:val="-2"/>
          <w:position w:val="14"/>
          <w:sz w:val="21"/>
          <w:szCs w:val="21"/>
          <w:highlight w:val="none"/>
        </w:rPr>
        <w:t>____年____月____日，____年____月____日，____年____月____日</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注：1．联合响应时需签本协议，联合体各方成员应在本协议上共同盖章确认。</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2．本协议内容不得擅自修改。此协议将作为签订合同的附件之一。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19"/>
          <w:szCs w:val="19"/>
          <w:highlight w:val="none"/>
        </w:rPr>
      </w:pPr>
      <w:r>
        <w:rPr>
          <w:rFonts w:hint="eastAsia" w:ascii="宋体" w:hAnsi="宋体" w:eastAsia="宋体" w:cs="宋体"/>
          <w:color w:val="auto"/>
          <w:spacing w:val="-8"/>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202" w:name="_Toc18912"/>
      <w:r>
        <w:rPr>
          <w:rFonts w:hint="eastAsia" w:ascii="宋体" w:hAnsi="宋体" w:eastAsia="宋体" w:cs="宋体"/>
          <w:color w:val="auto"/>
          <w:highlight w:val="none"/>
        </w:rPr>
        <w:t>格式十</w:t>
      </w:r>
      <w:r>
        <w:rPr>
          <w:rFonts w:hint="eastAsia" w:cs="宋体"/>
          <w:color w:val="auto"/>
          <w:highlight w:val="none"/>
          <w:lang w:eastAsia="zh-CN"/>
        </w:rPr>
        <w:t>一</w:t>
      </w:r>
      <w:r>
        <w:rPr>
          <w:rFonts w:hint="eastAsia" w:ascii="宋体" w:hAnsi="宋体" w:eastAsia="宋体" w:cs="宋体"/>
          <w:color w:val="auto"/>
          <w:highlight w:val="none"/>
        </w:rPr>
        <w:t>：</w:t>
      </w:r>
      <w:bookmarkEnd w:id="202"/>
      <w:r>
        <w:rPr>
          <w:rFonts w:hint="eastAsia" w:ascii="宋体" w:hAnsi="宋体" w:eastAsia="宋体" w:cs="宋体"/>
          <w:color w:val="auto"/>
          <w:highlight w:val="none"/>
        </w:rPr>
        <w:t>供应商业绩情况表</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（以下格式文件由供应商根据需要选用）</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供应商业绩情况表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
          <w:highlight w:val="none"/>
        </w:rPr>
      </w:pPr>
    </w:p>
    <w:tbl>
      <w:tblPr>
        <w:tblStyle w:val="24"/>
        <w:tblW w:w="96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163"/>
        <w:gridCol w:w="2749"/>
        <w:gridCol w:w="1426"/>
        <w:gridCol w:w="2078"/>
        <w:gridCol w:w="1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01"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63"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客户名称</w:t>
            </w:r>
          </w:p>
        </w:tc>
        <w:tc>
          <w:tcPr>
            <w:tcW w:w="2749"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项目名称及合同金额（万元）</w:t>
            </w:r>
          </w:p>
        </w:tc>
        <w:tc>
          <w:tcPr>
            <w:tcW w:w="1426"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签订合同时间</w:t>
            </w:r>
          </w:p>
        </w:tc>
        <w:tc>
          <w:tcPr>
            <w:tcW w:w="2078"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竣工验收报告时间</w:t>
            </w:r>
          </w:p>
        </w:tc>
        <w:tc>
          <w:tcPr>
            <w:tcW w:w="1537" w:type="dxa"/>
            <w:shd w:val="clear" w:color="auto" w:fill="F5F5F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联系人及电话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7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4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07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5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7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4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07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5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7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7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4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07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5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7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4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07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5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7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4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07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5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根据上述业绩情况，按磋商文件要求附销售或服务合同复印件。</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19"/>
          <w:szCs w:val="19"/>
          <w:highlight w:val="none"/>
        </w:rPr>
      </w:pPr>
      <w:r>
        <w:rPr>
          <w:rFonts w:hint="eastAsia" w:ascii="宋体" w:hAnsi="宋体" w:eastAsia="宋体" w:cs="宋体"/>
          <w:color w:val="auto"/>
          <w:spacing w:val="-8"/>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203" w:name="_Toc24971"/>
      <w:r>
        <w:rPr>
          <w:rFonts w:hint="eastAsia" w:ascii="宋体" w:hAnsi="宋体" w:eastAsia="宋体" w:cs="宋体"/>
          <w:color w:val="auto"/>
          <w:highlight w:val="none"/>
        </w:rPr>
        <w:t>格式十</w:t>
      </w:r>
      <w:r>
        <w:rPr>
          <w:rFonts w:hint="eastAsia" w:cs="宋体"/>
          <w:color w:val="auto"/>
          <w:highlight w:val="none"/>
          <w:lang w:eastAsia="zh-CN"/>
        </w:rPr>
        <w:t>二</w:t>
      </w:r>
      <w:r>
        <w:rPr>
          <w:rFonts w:hint="eastAsia" w:ascii="宋体" w:hAnsi="宋体" w:eastAsia="宋体" w:cs="宋体"/>
          <w:color w:val="auto"/>
          <w:highlight w:val="none"/>
        </w:rPr>
        <w:t>：技术和服务要求响应表</w:t>
      </w:r>
      <w:bookmarkEnd w:id="203"/>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204" w:name="_Toc2348"/>
      <w:bookmarkStart w:id="205" w:name="_Toc9937"/>
      <w:r>
        <w:rPr>
          <w:rFonts w:hint="eastAsia" w:ascii="宋体" w:hAnsi="宋体" w:eastAsia="宋体" w:cs="宋体"/>
          <w:b/>
          <w:bCs/>
          <w:color w:val="auto"/>
          <w:sz w:val="21"/>
          <w:szCs w:val="21"/>
          <w:highlight w:val="none"/>
        </w:rPr>
        <w:t>《技术和服务要求响应表》</w:t>
      </w:r>
      <w:bookmarkEnd w:id="204"/>
      <w:bookmarkEnd w:id="205"/>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
          <w:highlight w:val="none"/>
        </w:rPr>
      </w:pPr>
    </w:p>
    <w:tbl>
      <w:tblPr>
        <w:tblStyle w:val="24"/>
        <w:tblW w:w="96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055"/>
        <w:gridCol w:w="1055"/>
        <w:gridCol w:w="1637"/>
        <w:gridCol w:w="1598"/>
        <w:gridCol w:w="787"/>
        <w:gridCol w:w="983"/>
        <w:gridCol w:w="1242"/>
        <w:gridCol w:w="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534"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055"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标的名称</w:t>
            </w:r>
          </w:p>
        </w:tc>
        <w:tc>
          <w:tcPr>
            <w:tcW w:w="1055"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参数性质</w:t>
            </w:r>
          </w:p>
        </w:tc>
        <w:tc>
          <w:tcPr>
            <w:tcW w:w="1637"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磋商文件规定的技术和服务要求</w:t>
            </w:r>
          </w:p>
        </w:tc>
        <w:tc>
          <w:tcPr>
            <w:tcW w:w="1598"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响应文件响应的具体内容</w:t>
            </w:r>
          </w:p>
        </w:tc>
        <w:tc>
          <w:tcPr>
            <w:tcW w:w="787"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型号</w:t>
            </w:r>
          </w:p>
        </w:tc>
        <w:tc>
          <w:tcPr>
            <w:tcW w:w="983"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是否偏离</w:t>
            </w:r>
          </w:p>
        </w:tc>
        <w:tc>
          <w:tcPr>
            <w:tcW w:w="1242"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证明文件所在位置</w:t>
            </w:r>
          </w:p>
        </w:tc>
        <w:tc>
          <w:tcPr>
            <w:tcW w:w="787"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7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8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7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7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8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7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7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8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7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7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8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7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7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8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7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7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8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7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7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8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7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说明：</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1.“磋商文件规定的技术和服务要求”项下填写的内容应与磋商文件中采购需求的“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响应无效。</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2.参数性质栏标注“★”、“▲”号条款标志，打“★”号条款为实质性条款，若有任何一条负偏离或不满足则导致响应无效。打“▲”号条款为重要技术参数（如有），若有部分“▲”条款未响应或不满足，将根据评审要求影响其得分，但不作为无效响应条款。</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lang w:eastAsia="zh-CN"/>
        </w:rPr>
      </w:pPr>
      <w:r>
        <w:rPr>
          <w:rFonts w:hint="eastAsia" w:ascii="宋体" w:hAnsi="宋体" w:eastAsia="宋体" w:cs="宋体"/>
          <w:color w:val="auto"/>
          <w:spacing w:val="-2"/>
          <w:position w:val="14"/>
          <w:sz w:val="21"/>
          <w:szCs w:val="21"/>
          <w:highlight w:val="none"/>
        </w:rPr>
        <w:t>3.“是否偏离”项下应按下列规定填写：优于的，填写“正偏离”；符合的，填写“无偏离”；低于的，填写“负偏离”。</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4.“备注”处可填写偏离情况的说明。</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19"/>
          <w:szCs w:val="19"/>
          <w:highlight w:val="none"/>
        </w:rPr>
      </w:pPr>
      <w:r>
        <w:rPr>
          <w:rFonts w:hint="eastAsia" w:ascii="宋体" w:hAnsi="宋体" w:eastAsia="宋体" w:cs="宋体"/>
          <w:color w:val="auto"/>
          <w:spacing w:val="-8"/>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206" w:name="_Toc30800"/>
      <w:r>
        <w:rPr>
          <w:rFonts w:hint="eastAsia" w:ascii="宋体" w:hAnsi="宋体" w:eastAsia="宋体" w:cs="宋体"/>
          <w:color w:val="auto"/>
          <w:highlight w:val="none"/>
        </w:rPr>
        <w:t>格式十</w:t>
      </w:r>
      <w:r>
        <w:rPr>
          <w:rFonts w:hint="eastAsia" w:cs="宋体"/>
          <w:color w:val="auto"/>
          <w:highlight w:val="none"/>
          <w:lang w:eastAsia="zh-CN"/>
        </w:rPr>
        <w:t>三</w:t>
      </w:r>
      <w:r>
        <w:rPr>
          <w:rFonts w:hint="eastAsia" w:ascii="宋体" w:hAnsi="宋体" w:eastAsia="宋体" w:cs="宋体"/>
          <w:color w:val="auto"/>
          <w:highlight w:val="none"/>
        </w:rPr>
        <w:t>：商务条件响应表</w:t>
      </w:r>
      <w:bookmarkEnd w:id="206"/>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207" w:name="_Toc24887"/>
      <w:bookmarkStart w:id="208" w:name="_Toc2510"/>
      <w:r>
        <w:rPr>
          <w:rFonts w:hint="eastAsia" w:ascii="宋体" w:hAnsi="宋体" w:eastAsia="宋体" w:cs="宋体"/>
          <w:b/>
          <w:bCs/>
          <w:color w:val="auto"/>
          <w:sz w:val="21"/>
          <w:szCs w:val="21"/>
          <w:highlight w:val="none"/>
        </w:rPr>
        <w:t>《商务条件响应表》</w:t>
      </w:r>
      <w:bookmarkEnd w:id="207"/>
      <w:bookmarkEnd w:id="208"/>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
          <w:highlight w:val="none"/>
        </w:rPr>
      </w:pPr>
    </w:p>
    <w:tbl>
      <w:tblPr>
        <w:tblStyle w:val="24"/>
        <w:tblW w:w="96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1067"/>
        <w:gridCol w:w="1785"/>
        <w:gridCol w:w="1992"/>
        <w:gridCol w:w="1352"/>
        <w:gridCol w:w="1820"/>
        <w:gridCol w:w="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42"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067"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参数性质</w:t>
            </w:r>
          </w:p>
        </w:tc>
        <w:tc>
          <w:tcPr>
            <w:tcW w:w="1785"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磋商文件规定的商务条件</w:t>
            </w:r>
          </w:p>
        </w:tc>
        <w:tc>
          <w:tcPr>
            <w:tcW w:w="1992"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响应文件响应的具体内容</w:t>
            </w:r>
          </w:p>
        </w:tc>
        <w:tc>
          <w:tcPr>
            <w:tcW w:w="1352"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是否偏离</w:t>
            </w:r>
          </w:p>
        </w:tc>
        <w:tc>
          <w:tcPr>
            <w:tcW w:w="1820"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证明文件所在位置</w:t>
            </w:r>
          </w:p>
        </w:tc>
        <w:tc>
          <w:tcPr>
            <w:tcW w:w="996"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7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1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说明：</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1.“磋商文件规定的商务条件”项下填写的内容应与磋商文件中采购需求的“商务要求”的内容保持一致。</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响应无效。</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3.参数性质栏标注“★”、“▲”号条款标志，打“★”号条款为实质性条款，若有任何一条负偏离或不满足则导致响应无效。打“▲”号条款为重要技术参数（如有），若有部分“▲”条款未响应或不满足，将根据评审要求影响其得分，但不作为无效响应条款。</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lang w:eastAsia="zh-CN"/>
        </w:rPr>
      </w:pPr>
      <w:r>
        <w:rPr>
          <w:rFonts w:hint="eastAsia" w:ascii="宋体" w:hAnsi="宋体" w:eastAsia="宋体" w:cs="宋体"/>
          <w:color w:val="auto"/>
          <w:spacing w:val="-2"/>
          <w:position w:val="14"/>
          <w:sz w:val="21"/>
          <w:szCs w:val="21"/>
          <w:highlight w:val="none"/>
        </w:rPr>
        <w:t>4.“是否偏离”项下应按下列规定填写：优于的，填写“正偏离”；符合的，填写“无偏离”；低于的，填写“负偏离”。</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5.“备注”处可填写偏离情况的说明。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19"/>
          <w:szCs w:val="19"/>
          <w:highlight w:val="none"/>
        </w:rPr>
      </w:pPr>
      <w:r>
        <w:rPr>
          <w:rFonts w:hint="eastAsia" w:ascii="宋体" w:hAnsi="宋体" w:eastAsia="宋体" w:cs="宋体"/>
          <w:color w:val="auto"/>
          <w:spacing w:val="-8"/>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209" w:name="_Toc17811"/>
      <w:r>
        <w:rPr>
          <w:rFonts w:hint="eastAsia" w:ascii="宋体" w:hAnsi="宋体" w:eastAsia="宋体" w:cs="宋体"/>
          <w:color w:val="auto"/>
          <w:highlight w:val="none"/>
        </w:rPr>
        <w:t>格式十</w:t>
      </w:r>
      <w:r>
        <w:rPr>
          <w:rFonts w:hint="eastAsia" w:cs="宋体"/>
          <w:color w:val="auto"/>
          <w:highlight w:val="none"/>
          <w:lang w:eastAsia="zh-CN"/>
        </w:rPr>
        <w:t>四</w:t>
      </w:r>
      <w:r>
        <w:rPr>
          <w:rFonts w:hint="eastAsia" w:ascii="宋体" w:hAnsi="宋体" w:eastAsia="宋体" w:cs="宋体"/>
          <w:color w:val="auto"/>
          <w:highlight w:val="none"/>
        </w:rPr>
        <w:t>：履约进度计划表</w:t>
      </w:r>
      <w:bookmarkEnd w:id="209"/>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（以下格式文件由供应商根据需要选用）</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210" w:name="_Toc1197"/>
      <w:bookmarkStart w:id="211" w:name="_Toc31479"/>
      <w:r>
        <w:rPr>
          <w:rFonts w:hint="eastAsia" w:ascii="宋体" w:hAnsi="宋体" w:eastAsia="宋体" w:cs="宋体"/>
          <w:b/>
          <w:bCs/>
          <w:color w:val="auto"/>
          <w:sz w:val="21"/>
          <w:szCs w:val="21"/>
          <w:highlight w:val="none"/>
        </w:rPr>
        <w:t>履约进度计划表</w:t>
      </w:r>
      <w:bookmarkEnd w:id="210"/>
      <w:bookmarkEnd w:id="211"/>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
          <w:highlight w:val="none"/>
        </w:rPr>
      </w:pPr>
    </w:p>
    <w:tbl>
      <w:tblPr>
        <w:tblStyle w:val="24"/>
        <w:tblW w:w="964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3278"/>
        <w:gridCol w:w="2668"/>
        <w:gridCol w:w="2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53"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278"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拟定时间安排</w:t>
            </w:r>
          </w:p>
        </w:tc>
        <w:tc>
          <w:tcPr>
            <w:tcW w:w="2668"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计划完成的工作内容</w:t>
            </w:r>
          </w:p>
        </w:tc>
        <w:tc>
          <w:tcPr>
            <w:tcW w:w="2742"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实施方建议或要求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27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拟定___年___月___日</w:t>
            </w:r>
          </w:p>
        </w:tc>
        <w:tc>
          <w:tcPr>
            <w:tcW w:w="26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签定合同并生效</w:t>
            </w:r>
          </w:p>
        </w:tc>
        <w:tc>
          <w:tcPr>
            <w:tcW w:w="2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27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___月___日—___月___日</w:t>
            </w:r>
          </w:p>
        </w:tc>
        <w:tc>
          <w:tcPr>
            <w:tcW w:w="26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27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___月___日—___月___日</w:t>
            </w:r>
          </w:p>
        </w:tc>
        <w:tc>
          <w:tcPr>
            <w:tcW w:w="26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c>
          <w:tcPr>
            <w:tcW w:w="2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27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___月___日—___月___日</w:t>
            </w:r>
          </w:p>
        </w:tc>
        <w:tc>
          <w:tcPr>
            <w:tcW w:w="26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质保期</w:t>
            </w:r>
          </w:p>
        </w:tc>
        <w:tc>
          <w:tcPr>
            <w:tcW w:w="2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bl>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19"/>
          <w:szCs w:val="19"/>
          <w:highlight w:val="none"/>
        </w:rPr>
      </w:pPr>
      <w:r>
        <w:rPr>
          <w:rFonts w:hint="eastAsia" w:ascii="宋体" w:hAnsi="宋体" w:eastAsia="宋体" w:cs="宋体"/>
          <w:color w:val="auto"/>
          <w:spacing w:val="-8"/>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212" w:name="_Toc13414"/>
      <w:r>
        <w:rPr>
          <w:rFonts w:hint="eastAsia" w:ascii="宋体" w:hAnsi="宋体" w:eastAsia="宋体" w:cs="宋体"/>
          <w:color w:val="auto"/>
          <w:highlight w:val="none"/>
        </w:rPr>
        <w:t>格式十</w:t>
      </w:r>
      <w:r>
        <w:rPr>
          <w:rFonts w:hint="eastAsia" w:cs="宋体"/>
          <w:color w:val="auto"/>
          <w:highlight w:val="none"/>
          <w:lang w:eastAsia="zh-CN"/>
        </w:rPr>
        <w:t>五</w:t>
      </w:r>
      <w:r>
        <w:rPr>
          <w:rFonts w:hint="eastAsia" w:ascii="宋体" w:hAnsi="宋体" w:eastAsia="宋体" w:cs="宋体"/>
          <w:color w:val="auto"/>
          <w:highlight w:val="none"/>
        </w:rPr>
        <w:t>：各类证明材料</w:t>
      </w:r>
      <w:bookmarkEnd w:id="212"/>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（以下格式文件由供应商根据需要选用）</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213" w:name="_Toc8685"/>
      <w:bookmarkStart w:id="214" w:name="_Toc51"/>
      <w:r>
        <w:rPr>
          <w:rFonts w:hint="eastAsia" w:ascii="宋体" w:hAnsi="宋体" w:eastAsia="宋体" w:cs="宋体"/>
          <w:b/>
          <w:bCs/>
          <w:color w:val="auto"/>
          <w:sz w:val="21"/>
          <w:szCs w:val="21"/>
          <w:highlight w:val="none"/>
        </w:rPr>
        <w:t>各类证明材料</w:t>
      </w:r>
      <w:bookmarkEnd w:id="213"/>
      <w:bookmarkEnd w:id="21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95"/>
        <w:textAlignment w:val="baseline"/>
        <w:outlineLvl w:val="0"/>
        <w:rPr>
          <w:rFonts w:hint="eastAsia" w:ascii="宋体" w:hAnsi="宋体" w:eastAsia="宋体" w:cs="宋体"/>
          <w:color w:val="auto"/>
          <w:spacing w:val="-3"/>
          <w:sz w:val="21"/>
          <w:szCs w:val="21"/>
          <w:highlight w:val="none"/>
        </w:rPr>
      </w:pPr>
      <w:bookmarkStart w:id="215" w:name="_Toc26029"/>
      <w:bookmarkStart w:id="216" w:name="_Toc12966"/>
      <w:r>
        <w:rPr>
          <w:rFonts w:hint="eastAsia" w:ascii="宋体" w:hAnsi="宋体" w:eastAsia="宋体" w:cs="宋体"/>
          <w:color w:val="auto"/>
          <w:spacing w:val="-3"/>
          <w:sz w:val="21"/>
          <w:szCs w:val="21"/>
          <w:highlight w:val="none"/>
        </w:rPr>
        <w:t>1.磋商文件</w:t>
      </w:r>
      <w:r>
        <w:rPr>
          <w:rFonts w:hint="eastAsia" w:ascii="宋体" w:hAnsi="宋体" w:eastAsia="宋体" w:cs="宋体"/>
          <w:color w:val="auto"/>
          <w:spacing w:val="-3"/>
          <w:sz w:val="21"/>
          <w:szCs w:val="21"/>
          <w:highlight w:val="none"/>
          <w:lang w:eastAsia="zh-CN"/>
        </w:rPr>
        <w:t>及</w:t>
      </w:r>
      <w:r>
        <w:rPr>
          <w:rFonts w:hint="eastAsia" w:ascii="宋体" w:hAnsi="宋体" w:eastAsia="宋体" w:cs="宋体"/>
          <w:color w:val="auto"/>
          <w:spacing w:val="-3"/>
          <w:sz w:val="21"/>
          <w:szCs w:val="21"/>
          <w:highlight w:val="none"/>
          <w:lang w:val="en-US" w:eastAsia="zh-CN"/>
        </w:rPr>
        <w:t>评分标准</w:t>
      </w:r>
      <w:r>
        <w:rPr>
          <w:rFonts w:hint="eastAsia" w:ascii="宋体" w:hAnsi="宋体" w:eastAsia="宋体" w:cs="宋体"/>
          <w:color w:val="auto"/>
          <w:spacing w:val="-3"/>
          <w:sz w:val="21"/>
          <w:szCs w:val="21"/>
          <w:highlight w:val="none"/>
        </w:rPr>
        <w:t>要求提供的其他资料。</w:t>
      </w:r>
      <w:bookmarkEnd w:id="215"/>
      <w:bookmarkEnd w:id="216"/>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95"/>
        <w:textAlignment w:val="baseline"/>
        <w:outlineLvl w:val="0"/>
        <w:rPr>
          <w:rFonts w:hint="eastAsia" w:ascii="宋体" w:hAnsi="宋体" w:eastAsia="宋体" w:cs="宋体"/>
          <w:color w:val="auto"/>
          <w:spacing w:val="-3"/>
          <w:sz w:val="21"/>
          <w:szCs w:val="21"/>
          <w:highlight w:val="none"/>
        </w:rPr>
      </w:pPr>
      <w:bookmarkStart w:id="217" w:name="_Toc1805"/>
      <w:bookmarkStart w:id="218" w:name="_Toc18027"/>
      <w:r>
        <w:rPr>
          <w:rFonts w:hint="eastAsia" w:ascii="宋体" w:hAnsi="宋体" w:eastAsia="宋体" w:cs="宋体"/>
          <w:color w:val="auto"/>
          <w:spacing w:val="-3"/>
          <w:sz w:val="21"/>
          <w:szCs w:val="21"/>
          <w:highlight w:val="none"/>
        </w:rPr>
        <w:t>2.供应商认为需提供的其他资料。</w:t>
      </w:r>
      <w:bookmarkEnd w:id="217"/>
      <w:bookmarkEnd w:id="218"/>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19"/>
          <w:szCs w:val="19"/>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19"/>
          <w:szCs w:val="19"/>
          <w:highlight w:val="none"/>
        </w:rPr>
      </w:pPr>
      <w:r>
        <w:rPr>
          <w:rFonts w:hint="eastAsia" w:ascii="宋体" w:hAnsi="宋体" w:eastAsia="宋体" w:cs="宋体"/>
          <w:color w:val="auto"/>
          <w:spacing w:val="-8"/>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219" w:name="_Toc26673"/>
      <w:r>
        <w:rPr>
          <w:rFonts w:hint="eastAsia" w:ascii="宋体" w:hAnsi="宋体" w:eastAsia="宋体" w:cs="宋体"/>
          <w:color w:val="auto"/>
          <w:highlight w:val="none"/>
        </w:rPr>
        <w:t>格式十</w:t>
      </w:r>
      <w:r>
        <w:rPr>
          <w:rFonts w:hint="eastAsia" w:cs="宋体"/>
          <w:color w:val="auto"/>
          <w:highlight w:val="none"/>
          <w:lang w:eastAsia="zh-CN"/>
        </w:rPr>
        <w:t>六</w:t>
      </w:r>
      <w:r>
        <w:rPr>
          <w:rFonts w:hint="eastAsia" w:ascii="宋体" w:hAnsi="宋体" w:eastAsia="宋体" w:cs="宋体"/>
          <w:color w:val="auto"/>
          <w:highlight w:val="none"/>
        </w:rPr>
        <w:t>：代理服务费缴纳承诺函</w:t>
      </w:r>
      <w:bookmarkEnd w:id="219"/>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（若采购人支付代理服务费，则无需出具此承诺书）</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220" w:name="_Toc22653"/>
      <w:bookmarkStart w:id="221" w:name="_Toc1259"/>
      <w:r>
        <w:rPr>
          <w:rFonts w:hint="eastAsia" w:ascii="宋体" w:hAnsi="宋体" w:eastAsia="宋体" w:cs="宋体"/>
          <w:b/>
          <w:bCs/>
          <w:color w:val="auto"/>
          <w:sz w:val="21"/>
          <w:szCs w:val="21"/>
          <w:highlight w:val="none"/>
        </w:rPr>
        <w:t>代理服务费缴纳承诺函</w:t>
      </w:r>
      <w:bookmarkEnd w:id="220"/>
      <w:bookmarkEnd w:id="221"/>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致：</w:t>
      </w:r>
      <w:r>
        <w:rPr>
          <w:rFonts w:hint="eastAsia" w:ascii="宋体" w:hAnsi="宋体" w:eastAsia="宋体" w:cs="宋体"/>
          <w:color w:val="auto"/>
          <w:spacing w:val="1"/>
          <w:sz w:val="21"/>
          <w:szCs w:val="21"/>
          <w:highlight w:val="none"/>
          <w:lang w:eastAsia="zh-CN"/>
        </w:rPr>
        <w:t>东莞市金燕工程管理有限公司</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我单位参加贵公司组织的</w:t>
      </w:r>
      <w:r>
        <w:rPr>
          <w:rFonts w:hint="eastAsia" w:ascii="宋体" w:hAnsi="宋体" w:eastAsia="宋体" w:cs="宋体"/>
          <w:color w:val="auto"/>
          <w:spacing w:val="1"/>
          <w:sz w:val="21"/>
          <w:szCs w:val="21"/>
          <w:highlight w:val="none"/>
          <w:lang w:eastAsia="zh-CN"/>
        </w:rPr>
        <w:t>石龙坑石河西十七巷新建拆迁安置房项目-新增400kVA箱变电站</w:t>
      </w:r>
      <w:r>
        <w:rPr>
          <w:rFonts w:hint="eastAsia" w:ascii="宋体" w:hAnsi="宋体" w:eastAsia="宋体" w:cs="宋体"/>
          <w:color w:val="auto"/>
          <w:spacing w:val="1"/>
          <w:sz w:val="21"/>
          <w:szCs w:val="21"/>
          <w:highlight w:val="none"/>
        </w:rPr>
        <w:t>（采购项目编号：</w:t>
      </w:r>
      <w:r>
        <w:rPr>
          <w:rFonts w:hint="eastAsia" w:ascii="宋体" w:hAnsi="宋体" w:eastAsia="宋体" w:cs="宋体"/>
          <w:color w:val="auto"/>
          <w:spacing w:val="1"/>
          <w:sz w:val="21"/>
          <w:szCs w:val="21"/>
          <w:highlight w:val="none"/>
          <w:lang w:eastAsia="zh-CN"/>
        </w:rPr>
        <w:t>DGJY-2022112779</w:t>
      </w:r>
      <w:r>
        <w:rPr>
          <w:rFonts w:hint="eastAsia" w:ascii="宋体" w:hAnsi="宋体" w:eastAsia="宋体" w:cs="宋体"/>
          <w:color w:val="auto"/>
          <w:spacing w:val="1"/>
          <w:sz w:val="21"/>
          <w:szCs w:val="21"/>
          <w:highlight w:val="none"/>
        </w:rPr>
        <w:t>），作出如下承诺：</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1、完全响应磋商文件中要求的条款，若提供虚假资料将作为无效响应处理，并接受相关部门的处罚。</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我单位若被选为成交供应商，承诺按照规定缴纳代理服务费。代理服务费包括组织专家对审查供应商资格、答疑、组织磋商、评审、确定成交供应商，以及提供采购前期咨询、协调合同的签订等服务，按______支付。</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3、如我公司被选为成交供应商，在</w:t>
      </w:r>
      <w:r>
        <w:rPr>
          <w:rFonts w:hint="eastAsia" w:ascii="宋体" w:hAnsi="宋体" w:eastAsia="宋体" w:cs="宋体"/>
          <w:color w:val="auto"/>
          <w:spacing w:val="1"/>
          <w:sz w:val="21"/>
          <w:szCs w:val="21"/>
          <w:highlight w:val="none"/>
          <w:lang w:eastAsia="zh-CN"/>
        </w:rPr>
        <w:t>中标结果</w:t>
      </w:r>
      <w:r>
        <w:rPr>
          <w:rFonts w:hint="eastAsia" w:ascii="宋体" w:hAnsi="宋体" w:eastAsia="宋体" w:cs="宋体"/>
          <w:color w:val="auto"/>
          <w:spacing w:val="1"/>
          <w:sz w:val="21"/>
          <w:szCs w:val="21"/>
          <w:highlight w:val="none"/>
        </w:rPr>
        <w:t>公示后3日内向采购代理机构指定帐户缴付代理服务费。特此承诺！</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供应商法定名称（公章）；_____________________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供应商法定地址：_____________________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供应商授权代表（签字或盖章）：_____________________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电话：_____________________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传真：_____________________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承诺日期：_____________________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222" w:name="_Toc32380"/>
      <w:r>
        <w:rPr>
          <w:rFonts w:hint="eastAsia" w:ascii="宋体" w:hAnsi="宋体" w:eastAsia="宋体" w:cs="宋体"/>
          <w:color w:val="auto"/>
          <w:highlight w:val="none"/>
        </w:rPr>
        <w:t>格式十</w:t>
      </w:r>
      <w:r>
        <w:rPr>
          <w:rFonts w:hint="eastAsia" w:cs="宋体"/>
          <w:color w:val="auto"/>
          <w:highlight w:val="none"/>
          <w:lang w:eastAsia="zh-CN"/>
        </w:rPr>
        <w:t>七</w:t>
      </w:r>
      <w:r>
        <w:rPr>
          <w:rFonts w:hint="eastAsia" w:ascii="宋体" w:hAnsi="宋体" w:eastAsia="宋体" w:cs="宋体"/>
          <w:color w:val="auto"/>
          <w:highlight w:val="none"/>
        </w:rPr>
        <w:t>：需要采购人提供的附加条件</w:t>
      </w:r>
      <w:bookmarkEnd w:id="222"/>
    </w:p>
    <w:p>
      <w:pPr>
        <w:keepNext w:val="0"/>
        <w:keepLines w:val="0"/>
        <w:pageBreakBefore w:val="0"/>
        <w:widowControl/>
        <w:kinsoku w:val="0"/>
        <w:wordWrap/>
        <w:overflowPunct/>
        <w:topLinePunct w:val="0"/>
        <w:autoSpaceDE w:val="0"/>
        <w:autoSpaceDN w:val="0"/>
        <w:bidi w:val="0"/>
        <w:adjustRightInd w:val="0"/>
        <w:snapToGrid w:val="0"/>
        <w:spacing w:before="192" w:line="360" w:lineRule="auto"/>
        <w:ind w:firstLine="395"/>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（以下格式文件由供应商根据需要选用）</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223" w:name="_Toc12800"/>
      <w:bookmarkStart w:id="224" w:name="_Toc26776"/>
      <w:r>
        <w:rPr>
          <w:rFonts w:hint="eastAsia" w:ascii="宋体" w:hAnsi="宋体" w:eastAsia="宋体" w:cs="宋体"/>
          <w:b/>
          <w:bCs/>
          <w:color w:val="auto"/>
          <w:sz w:val="21"/>
          <w:szCs w:val="21"/>
          <w:highlight w:val="none"/>
        </w:rPr>
        <w:t>需要采购人提供的附加条件</w:t>
      </w:r>
      <w:bookmarkEnd w:id="223"/>
      <w:bookmarkEnd w:id="224"/>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
          <w:highlight w:val="none"/>
        </w:rPr>
      </w:pPr>
    </w:p>
    <w:tbl>
      <w:tblPr>
        <w:tblStyle w:val="24"/>
        <w:tblW w:w="93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0"/>
        <w:gridCol w:w="7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60"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7698" w:type="dxa"/>
            <w:shd w:val="clear" w:color="auto" w:fill="F5F5F5"/>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供应商需要采购人提供的附加条件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6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769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6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769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6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769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注：供应商完成本项目需要采购人配合或提供的条件必须在上表列出，否则将视为供应商同意按现有条件完成本项目。如上表所列附加条件含有采购人不能接受的，将被视为响应无效。</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格式十</w:t>
      </w:r>
      <w:r>
        <w:rPr>
          <w:rFonts w:hint="eastAsia" w:cs="宋体"/>
          <w:color w:val="auto"/>
          <w:highlight w:val="none"/>
          <w:lang w:eastAsia="zh-CN"/>
        </w:rPr>
        <w:t>八</w:t>
      </w:r>
      <w:r>
        <w:rPr>
          <w:rFonts w:hint="eastAsia" w:ascii="宋体" w:hAnsi="宋体" w:eastAsia="宋体" w:cs="宋体"/>
          <w:color w:val="auto"/>
          <w:highlight w:val="none"/>
        </w:rPr>
        <w:t>：项目实施方案</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项目实施方案、质量保证及售后服务承诺等内容和格式自拟。</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
          <w:sz w:val="19"/>
          <w:szCs w:val="19"/>
          <w:highlight w:val="none"/>
        </w:rPr>
      </w:pPr>
    </w:p>
    <w:p>
      <w:pPr>
        <w:rPr>
          <w:rFonts w:hint="eastAsia" w:ascii="宋体" w:hAnsi="宋体" w:eastAsia="宋体" w:cs="宋体"/>
          <w:color w:val="auto"/>
          <w:spacing w:val="1"/>
          <w:sz w:val="19"/>
          <w:szCs w:val="19"/>
          <w:highlight w:val="none"/>
        </w:rPr>
      </w:pPr>
    </w:p>
    <w:p>
      <w:pPr>
        <w:pStyle w:val="22"/>
        <w:rPr>
          <w:rFonts w:hint="eastAsia" w:ascii="宋体" w:hAnsi="宋体" w:eastAsia="宋体" w:cs="宋体"/>
          <w:color w:val="auto"/>
          <w:spacing w:val="1"/>
          <w:sz w:val="19"/>
          <w:szCs w:val="19"/>
          <w:highlight w:val="none"/>
        </w:rPr>
      </w:pPr>
    </w:p>
    <w:p>
      <w:pPr>
        <w:pStyle w:val="22"/>
        <w:rPr>
          <w:rFonts w:hint="eastAsia" w:ascii="宋体" w:hAnsi="宋体" w:eastAsia="宋体" w:cs="宋体"/>
          <w:color w:val="auto"/>
          <w:spacing w:val="1"/>
          <w:sz w:val="19"/>
          <w:szCs w:val="19"/>
          <w:highlight w:val="none"/>
        </w:rPr>
      </w:pPr>
    </w:p>
    <w:p>
      <w:pPr>
        <w:rPr>
          <w:rFonts w:hint="eastAsia" w:ascii="宋体" w:hAnsi="宋体" w:eastAsia="宋体" w:cs="宋体"/>
          <w:color w:val="auto"/>
          <w:spacing w:val="1"/>
          <w:sz w:val="19"/>
          <w:szCs w:val="19"/>
          <w:highlight w:val="none"/>
        </w:rPr>
      </w:pPr>
      <w:r>
        <w:rPr>
          <w:rFonts w:hint="eastAsia" w:ascii="宋体" w:hAnsi="宋体" w:eastAsia="宋体" w:cs="宋体"/>
          <w:color w:val="auto"/>
          <w:spacing w:val="1"/>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格式十</w:t>
      </w:r>
      <w:r>
        <w:rPr>
          <w:rFonts w:hint="eastAsia" w:cs="宋体"/>
          <w:color w:val="auto"/>
          <w:highlight w:val="none"/>
          <w:lang w:eastAsia="zh-CN"/>
        </w:rPr>
        <w:t>九</w:t>
      </w:r>
      <w:r>
        <w:rPr>
          <w:rFonts w:hint="eastAsia" w:ascii="宋体" w:hAnsi="宋体" w:eastAsia="宋体" w:cs="宋体"/>
          <w:color w:val="auto"/>
          <w:highlight w:val="none"/>
        </w:rPr>
        <w:t>：政府采购投标（响应）担保函</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附件（以下格式文件由供应商根据需要选用）</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政府采购投标（响应）担保函</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395"/>
        <w:jc w:val="righ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编号：【】号</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（采购人）：</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一、保证责任的情形及保证金额</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（一）在投标（响应）人出现下列情形之一时，我方承担保证责任：</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1.中标（成交）后投标（响应）人无正当理由不与采购人签订《政府采购合同》；</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2.采购文件规定的投标（响应）人应当缴纳保证金的其他情形。</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（二）我方承担保证责任的最高金额为人民币__________元（大写）即本项目的投标（响应）保证金金额。</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二、保证的方式及保证期间</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我方保证的方式为：连带责任保证。</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我方的保证期间为：本保函自__年__月__日起生效，有效期至开标日后的90天内。</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三、承担保证责任的程序</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2.我方在收到索赔通知及相关证明材料后，在15个工作日内进行审查，符合应承担保证责任情形的，我方按照你方的要求代投标（响应）人向你方支付相应的索赔款项。</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四、保证责任的终止</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1.保证期间届满，你方未向我方书面主张保证责任的，自保证期间届满次日起，我方保证责任自动终止。</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2.我方按照本保函向你方履行了保证责任后，自我方向你方支付款项（支付款项从我方账户划出）之日起，保证责任终止。</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3.按照法律法规的规定或出现我方保证责任终止的其它情形的，我方在本保函项下的保证责任终止。</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五、免责条款</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1.依照法律规定或你方与投标（响应）人的另行约定，全部或者部分免除投标（响应）人投标（响应）保证金义务时，我方亦免除相应的保证责任。</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2.因你方原因致使投标（响应）人发生本保函第一条第（一）款约定情形的，我方不承担保证责任。</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3.因不可抗力造成投标（响应）人发生本保函第一条约定情形的，我方不承担保证责任。</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4.你方或其他有权机关对采购文件进行任何澄清或修改，加重我方保证责任的，我方对加重部分不承担保证责任，但该澄清或修改经我方事先书面同意的除外。</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六、争议的解决</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因本保函发生的纠纷，由你我双方协商解决，协商不成的，通过诉讼程序解决，诉讼管辖地法院为________法院。</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七、保函的生效</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本保函自我方加盖公章之日起生效。</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保证人：_______（公章）_______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联系人：________________联系电话：_______________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___年___月___日</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p>
    <w:p>
      <w:pPr>
        <w:pStyle w:val="7"/>
        <w:rPr>
          <w:rFonts w:hint="eastAsia" w:ascii="宋体" w:hAnsi="宋体" w:eastAsia="宋体" w:cs="宋体"/>
          <w:color w:val="auto"/>
          <w:spacing w:val="1"/>
          <w:sz w:val="19"/>
          <w:szCs w:val="19"/>
          <w:highlight w:val="none"/>
        </w:rPr>
      </w:pPr>
    </w:p>
    <w:p>
      <w:pPr>
        <w:rPr>
          <w:rFonts w:hint="eastAsia" w:ascii="宋体" w:hAnsi="宋体" w:eastAsia="宋体" w:cs="宋体"/>
          <w:color w:val="auto"/>
          <w:spacing w:val="1"/>
          <w:sz w:val="19"/>
          <w:szCs w:val="19"/>
          <w:highlight w:val="none"/>
        </w:rPr>
      </w:pPr>
      <w:r>
        <w:rPr>
          <w:rFonts w:hint="eastAsia" w:ascii="宋体" w:hAnsi="宋体" w:eastAsia="宋体" w:cs="宋体"/>
          <w:color w:val="auto"/>
          <w:spacing w:val="1"/>
          <w:sz w:val="19"/>
          <w:szCs w:val="19"/>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2" w:leftChars="0" w:hanging="12" w:hangingChars="5"/>
        <w:jc w:val="left"/>
        <w:textAlignment w:val="baseline"/>
        <w:rPr>
          <w:rFonts w:hint="eastAsia" w:ascii="宋体" w:hAnsi="宋体" w:eastAsia="宋体" w:cs="宋体"/>
          <w:color w:val="auto"/>
          <w:highlight w:val="none"/>
        </w:rPr>
      </w:pPr>
      <w:bookmarkStart w:id="225" w:name="_Toc18554"/>
      <w:r>
        <w:rPr>
          <w:rFonts w:hint="eastAsia" w:ascii="宋体" w:hAnsi="宋体" w:eastAsia="宋体" w:cs="宋体"/>
          <w:color w:val="auto"/>
          <w:highlight w:val="none"/>
        </w:rPr>
        <w:t>格式二十：询问函、质疑函、投诉书格式</w:t>
      </w:r>
      <w:bookmarkEnd w:id="225"/>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395"/>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（以下格式文件由供应商根据需要选用）</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226" w:name="_Toc3011"/>
      <w:bookmarkStart w:id="227" w:name="_Toc31979"/>
      <w:r>
        <w:rPr>
          <w:rFonts w:hint="eastAsia" w:ascii="宋体" w:hAnsi="宋体" w:eastAsia="宋体" w:cs="宋体"/>
          <w:b/>
          <w:bCs/>
          <w:color w:val="auto"/>
          <w:sz w:val="21"/>
          <w:szCs w:val="21"/>
          <w:highlight w:val="none"/>
        </w:rPr>
        <w:t>询问函、质疑函、投诉书格式</w:t>
      </w:r>
      <w:bookmarkEnd w:id="226"/>
      <w:bookmarkEnd w:id="22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95"/>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说明：本部分格式为供应商提交询问函、质疑函、投诉函时使用，不属于响应文件格式的组成部分。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228" w:name="_Toc5932"/>
      <w:bookmarkStart w:id="229" w:name="_Toc22834"/>
      <w:r>
        <w:rPr>
          <w:rFonts w:hint="eastAsia" w:ascii="宋体" w:hAnsi="宋体" w:eastAsia="宋体" w:cs="宋体"/>
          <w:b/>
          <w:bCs/>
          <w:color w:val="auto"/>
          <w:sz w:val="21"/>
          <w:szCs w:val="21"/>
          <w:highlight w:val="none"/>
        </w:rPr>
        <w:t>询问函</w:t>
      </w:r>
      <w:bookmarkEnd w:id="228"/>
      <w:bookmarkEnd w:id="229"/>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lang w:eastAsia="zh-CN"/>
        </w:rPr>
      </w:pPr>
      <w:r>
        <w:rPr>
          <w:rFonts w:hint="eastAsia" w:ascii="宋体" w:hAnsi="宋体" w:eastAsia="宋体" w:cs="宋体"/>
          <w:color w:val="auto"/>
          <w:spacing w:val="-2"/>
          <w:position w:val="14"/>
          <w:sz w:val="21"/>
          <w:szCs w:val="21"/>
          <w:highlight w:val="none"/>
          <w:lang w:eastAsia="zh-CN"/>
        </w:rPr>
        <w:t>东莞市金燕工程管理有限公司</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我单位已登记并准备参与</w:t>
      </w:r>
      <w:r>
        <w:rPr>
          <w:rFonts w:hint="eastAsia" w:ascii="宋体" w:hAnsi="宋体" w:eastAsia="宋体" w:cs="宋体"/>
          <w:color w:val="auto"/>
          <w:spacing w:val="-2"/>
          <w:position w:val="14"/>
          <w:sz w:val="21"/>
          <w:szCs w:val="21"/>
          <w:highlight w:val="none"/>
          <w:lang w:eastAsia="zh-CN"/>
        </w:rPr>
        <w:t>石龙坑石河西十七巷新建拆迁安置房项目-新增400kVA箱变电站</w:t>
      </w:r>
      <w:r>
        <w:rPr>
          <w:rFonts w:hint="eastAsia" w:ascii="宋体" w:hAnsi="宋体" w:eastAsia="宋体" w:cs="宋体"/>
          <w:color w:val="auto"/>
          <w:spacing w:val="-2"/>
          <w:position w:val="14"/>
          <w:sz w:val="21"/>
          <w:szCs w:val="21"/>
          <w:highlight w:val="none"/>
        </w:rPr>
        <w:t>（采购项目编号：</w:t>
      </w:r>
      <w:r>
        <w:rPr>
          <w:rFonts w:hint="eastAsia" w:ascii="宋体" w:hAnsi="宋体" w:eastAsia="宋体" w:cs="宋体"/>
          <w:color w:val="auto"/>
          <w:spacing w:val="-2"/>
          <w:position w:val="14"/>
          <w:sz w:val="21"/>
          <w:szCs w:val="21"/>
          <w:highlight w:val="none"/>
          <w:lang w:eastAsia="zh-CN"/>
        </w:rPr>
        <w:t>DGJY-2022112779</w:t>
      </w:r>
      <w:r>
        <w:rPr>
          <w:rFonts w:hint="eastAsia" w:ascii="宋体" w:hAnsi="宋体" w:eastAsia="宋体" w:cs="宋体"/>
          <w:color w:val="auto"/>
          <w:spacing w:val="-2"/>
          <w:position w:val="14"/>
          <w:sz w:val="21"/>
          <w:szCs w:val="21"/>
          <w:highlight w:val="none"/>
        </w:rPr>
        <w:t>）的响应活动，现有以下几个内容（或条款）存在疑问（或无法理解），特提出询问。</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outlineLvl w:val="0"/>
        <w:rPr>
          <w:rFonts w:hint="eastAsia" w:ascii="宋体" w:hAnsi="宋体" w:eastAsia="宋体" w:cs="宋体"/>
          <w:color w:val="auto"/>
          <w:spacing w:val="-2"/>
          <w:position w:val="14"/>
          <w:sz w:val="21"/>
          <w:szCs w:val="21"/>
          <w:highlight w:val="none"/>
        </w:rPr>
      </w:pPr>
      <w:bookmarkStart w:id="230" w:name="_Toc1049"/>
      <w:bookmarkStart w:id="231" w:name="_Toc11474"/>
      <w:r>
        <w:rPr>
          <w:rFonts w:hint="eastAsia" w:ascii="宋体" w:hAnsi="宋体" w:eastAsia="宋体" w:cs="宋体"/>
          <w:color w:val="auto"/>
          <w:spacing w:val="-2"/>
          <w:position w:val="14"/>
          <w:sz w:val="21"/>
          <w:szCs w:val="21"/>
          <w:highlight w:val="none"/>
        </w:rPr>
        <w:t>一、_____________________（事项一）</w:t>
      </w:r>
      <w:bookmarkEnd w:id="230"/>
      <w:bookmarkEnd w:id="231"/>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（1）____________________（问题或条款内容）</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（2）____________________（说明疑问或无法理解原因）</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（3）____________________（建议）</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outlineLvl w:val="0"/>
        <w:rPr>
          <w:rFonts w:hint="eastAsia" w:ascii="宋体" w:hAnsi="宋体" w:eastAsia="宋体" w:cs="宋体"/>
          <w:color w:val="auto"/>
          <w:spacing w:val="-2"/>
          <w:position w:val="14"/>
          <w:sz w:val="21"/>
          <w:szCs w:val="21"/>
          <w:highlight w:val="none"/>
        </w:rPr>
      </w:pPr>
      <w:bookmarkStart w:id="232" w:name="_Toc27927"/>
      <w:bookmarkStart w:id="233" w:name="_Toc8950"/>
      <w:r>
        <w:rPr>
          <w:rFonts w:hint="eastAsia" w:ascii="宋体" w:hAnsi="宋体" w:eastAsia="宋体" w:cs="宋体"/>
          <w:color w:val="auto"/>
          <w:spacing w:val="-2"/>
          <w:position w:val="14"/>
          <w:sz w:val="21"/>
          <w:szCs w:val="21"/>
          <w:highlight w:val="none"/>
        </w:rPr>
        <w:t>二、_____________________（事项二）</w:t>
      </w:r>
      <w:bookmarkEnd w:id="232"/>
      <w:bookmarkEnd w:id="233"/>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随附相关证明材料如下：（目录）</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询问人：（公章）</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法定代表人（授权代表）：</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地址/邮编：</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电话/传真：</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jc w:val="right"/>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t>日期：__________________</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395"/>
        <w:textAlignment w:val="baseline"/>
        <w:rPr>
          <w:rFonts w:hint="eastAsia" w:ascii="宋体" w:hAnsi="宋体" w:eastAsia="宋体" w:cs="宋体"/>
          <w:color w:val="auto"/>
          <w:spacing w:val="-2"/>
          <w:position w:val="14"/>
          <w:sz w:val="21"/>
          <w:szCs w:val="21"/>
          <w:highlight w:val="none"/>
        </w:rPr>
      </w:pPr>
      <w:r>
        <w:rPr>
          <w:rFonts w:hint="eastAsia" w:ascii="宋体" w:hAnsi="宋体" w:eastAsia="宋体" w:cs="宋体"/>
          <w:color w:val="auto"/>
          <w:spacing w:val="-2"/>
          <w:position w:val="14"/>
          <w:sz w:val="21"/>
          <w:szCs w:val="21"/>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234" w:name="_Toc2913"/>
      <w:bookmarkStart w:id="235" w:name="_Toc28175"/>
      <w:r>
        <w:rPr>
          <w:rFonts w:hint="eastAsia" w:ascii="宋体" w:hAnsi="宋体" w:eastAsia="宋体" w:cs="宋体"/>
          <w:b/>
          <w:bCs/>
          <w:color w:val="auto"/>
          <w:sz w:val="21"/>
          <w:szCs w:val="21"/>
          <w:highlight w:val="none"/>
        </w:rPr>
        <w:t>质疑函</w:t>
      </w:r>
      <w:bookmarkEnd w:id="234"/>
      <w:bookmarkEnd w:id="235"/>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bookmarkStart w:id="236" w:name="_Toc3136"/>
      <w:bookmarkStart w:id="237" w:name="_Toc24906"/>
      <w:r>
        <w:rPr>
          <w:rFonts w:hint="eastAsia" w:ascii="宋体" w:hAnsi="宋体" w:eastAsia="宋体" w:cs="宋体"/>
          <w:color w:val="auto"/>
          <w:spacing w:val="1"/>
          <w:sz w:val="21"/>
          <w:szCs w:val="21"/>
          <w:highlight w:val="none"/>
        </w:rPr>
        <w:t>一、质疑供应商基本信息</w:t>
      </w:r>
      <w:bookmarkEnd w:id="236"/>
      <w:bookmarkEnd w:id="237"/>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质疑供应商：__________________________________________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地址：_____________________邮编：_____________________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联系：_____________________联系电话：_________________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授权代表：_____________________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联系电话：_____________________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地址：_____________________邮编：_____________________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bookmarkStart w:id="238" w:name="_Toc23307"/>
      <w:bookmarkStart w:id="239" w:name="_Toc22399"/>
      <w:r>
        <w:rPr>
          <w:rFonts w:hint="eastAsia" w:ascii="宋体" w:hAnsi="宋体" w:eastAsia="宋体" w:cs="宋体"/>
          <w:color w:val="auto"/>
          <w:spacing w:val="1"/>
          <w:sz w:val="21"/>
          <w:szCs w:val="21"/>
          <w:highlight w:val="none"/>
        </w:rPr>
        <w:t>二、质疑项目基本情况</w:t>
      </w:r>
      <w:bookmarkEnd w:id="238"/>
      <w:bookmarkEnd w:id="239"/>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质疑项目的名称：_____________________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质疑项目的编号：_____________________包号：_____________________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采购人名称：_____________________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磋商文件获取日期：_____________________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bookmarkStart w:id="240" w:name="_Toc23743"/>
      <w:bookmarkStart w:id="241" w:name="_Toc3201"/>
      <w:r>
        <w:rPr>
          <w:rFonts w:hint="eastAsia" w:ascii="宋体" w:hAnsi="宋体" w:eastAsia="宋体" w:cs="宋体"/>
          <w:color w:val="auto"/>
          <w:spacing w:val="1"/>
          <w:sz w:val="21"/>
          <w:szCs w:val="21"/>
          <w:highlight w:val="none"/>
        </w:rPr>
        <w:t>三、质疑事项具体内容</w:t>
      </w:r>
      <w:bookmarkEnd w:id="240"/>
      <w:bookmarkEnd w:id="241"/>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质疑事项1：_____________________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事实依据：_____________________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法律依据：_____________________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质疑事项2</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bookmarkStart w:id="242" w:name="_Toc26192"/>
      <w:bookmarkStart w:id="243" w:name="_Toc4300"/>
      <w:r>
        <w:rPr>
          <w:rFonts w:hint="eastAsia" w:ascii="宋体" w:hAnsi="宋体" w:eastAsia="宋体" w:cs="宋体"/>
          <w:color w:val="auto"/>
          <w:spacing w:val="1"/>
          <w:sz w:val="21"/>
          <w:szCs w:val="21"/>
          <w:highlight w:val="none"/>
        </w:rPr>
        <w:t>四、与质疑事项相关的质疑请求</w:t>
      </w:r>
      <w:bookmarkEnd w:id="242"/>
      <w:bookmarkEnd w:id="243"/>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请求：</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签字(签章)：_____________________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公章：_____________________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日期：_____________________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质疑函制作说明：</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1.供应商提出质疑时，应提交质疑函和必要的证明材料。</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3.质疑供应商若对项目的某一采购包进行质疑，质疑函中应列明具体分包号。</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4.质疑函的质疑事项应具体、明确，并有必要的事实依据和法律依据。</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5.质疑函的质疑请求应与质疑事项相关。</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6.质疑供应商为自然人的，质疑函应由本人签字；质疑供应商为法人或者其他组织的，质疑函应由法定代表人、主要负责人，或者其授权代表签字或者盖章，并加盖公章。</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21"/>
          <w:szCs w:val="21"/>
          <w:highlight w:val="none"/>
        </w:rPr>
      </w:pPr>
      <w:bookmarkStart w:id="244" w:name="_Toc9049"/>
      <w:bookmarkStart w:id="245" w:name="_Toc19161"/>
      <w:r>
        <w:rPr>
          <w:rFonts w:hint="eastAsia" w:ascii="宋体" w:hAnsi="宋体" w:eastAsia="宋体" w:cs="宋体"/>
          <w:b/>
          <w:bCs/>
          <w:color w:val="auto"/>
          <w:sz w:val="21"/>
          <w:szCs w:val="21"/>
          <w:highlight w:val="none"/>
        </w:rPr>
        <w:t>投诉书</w:t>
      </w:r>
      <w:bookmarkEnd w:id="244"/>
      <w:bookmarkEnd w:id="245"/>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bookmarkStart w:id="246" w:name="_Toc4378"/>
      <w:bookmarkStart w:id="247" w:name="_Toc29182"/>
      <w:r>
        <w:rPr>
          <w:rFonts w:hint="eastAsia" w:ascii="宋体" w:hAnsi="宋体" w:eastAsia="宋体" w:cs="宋体"/>
          <w:color w:val="auto"/>
          <w:spacing w:val="1"/>
          <w:sz w:val="21"/>
          <w:szCs w:val="21"/>
          <w:highlight w:val="none"/>
        </w:rPr>
        <w:t>一、投诉相关主体基本情况</w:t>
      </w:r>
      <w:bookmarkEnd w:id="246"/>
      <w:bookmarkEnd w:id="247"/>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投诉人：____________________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地址：____________________邮编：____________________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法定代表人/主要负责人：____________________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联系电话：____________________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授权代表：____________________联系电话：____________________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地址：____________________邮编：____________________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被投诉人1：____________________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地址：____________________邮编：____________________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联系人：____________________联系电话：____________________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被投诉人2：____________________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相关供应商：</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地址：____________________邮编：____________________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联系人：____________________联系电话：____________________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bookmarkStart w:id="248" w:name="_Toc3212"/>
      <w:bookmarkStart w:id="249" w:name="_Toc13573"/>
      <w:r>
        <w:rPr>
          <w:rFonts w:hint="eastAsia" w:ascii="宋体" w:hAnsi="宋体" w:eastAsia="宋体" w:cs="宋体"/>
          <w:color w:val="auto"/>
          <w:spacing w:val="1"/>
          <w:sz w:val="21"/>
          <w:szCs w:val="21"/>
          <w:highlight w:val="none"/>
        </w:rPr>
        <w:t>二、投诉项目基本情况</w:t>
      </w:r>
      <w:bookmarkEnd w:id="248"/>
      <w:bookmarkEnd w:id="249"/>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采购项目名称：____________________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采购项目编号：____________________包号：____________________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采购人名称：____________________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代理机构名称：____________________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磋商文件公告:是/否公告期限：</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采购结果公告:是/否公告期限：</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bookmarkStart w:id="250" w:name="_Toc27972"/>
      <w:bookmarkStart w:id="251" w:name="_Toc24187"/>
      <w:r>
        <w:rPr>
          <w:rFonts w:hint="eastAsia" w:ascii="宋体" w:hAnsi="宋体" w:eastAsia="宋体" w:cs="宋体"/>
          <w:color w:val="auto"/>
          <w:spacing w:val="1"/>
          <w:sz w:val="21"/>
          <w:szCs w:val="21"/>
          <w:highlight w:val="none"/>
        </w:rPr>
        <w:t>三、质疑基本情况</w:t>
      </w:r>
      <w:bookmarkEnd w:id="250"/>
      <w:bookmarkEnd w:id="251"/>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投诉人于____年____月____日,向____________________提出质疑，质疑事项为：</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________________________________________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采购人/代理机构于____年____月____日,就质疑事项作出了答复/没有在法定期限内作出答复。</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bookmarkStart w:id="252" w:name="_Toc30370"/>
      <w:bookmarkStart w:id="253" w:name="_Toc11877"/>
      <w:r>
        <w:rPr>
          <w:rFonts w:hint="eastAsia" w:ascii="宋体" w:hAnsi="宋体" w:eastAsia="宋体" w:cs="宋体"/>
          <w:color w:val="auto"/>
          <w:spacing w:val="1"/>
          <w:sz w:val="21"/>
          <w:szCs w:val="21"/>
          <w:highlight w:val="none"/>
        </w:rPr>
        <w:t>四、投诉事项具体内容</w:t>
      </w:r>
      <w:bookmarkEnd w:id="252"/>
      <w:bookmarkEnd w:id="253"/>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投诉事项1：____________________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事实依据：____________________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法律依据：____________________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投诉事项2</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outlineLvl w:val="0"/>
        <w:rPr>
          <w:rFonts w:hint="eastAsia" w:ascii="宋体" w:hAnsi="宋体" w:eastAsia="宋体" w:cs="宋体"/>
          <w:color w:val="auto"/>
          <w:spacing w:val="1"/>
          <w:sz w:val="21"/>
          <w:szCs w:val="21"/>
          <w:highlight w:val="none"/>
        </w:rPr>
      </w:pPr>
      <w:bookmarkStart w:id="254" w:name="_Toc27654"/>
      <w:bookmarkStart w:id="255" w:name="_Toc27601"/>
      <w:r>
        <w:rPr>
          <w:rFonts w:hint="eastAsia" w:ascii="宋体" w:hAnsi="宋体" w:eastAsia="宋体" w:cs="宋体"/>
          <w:color w:val="auto"/>
          <w:spacing w:val="1"/>
          <w:sz w:val="21"/>
          <w:szCs w:val="21"/>
          <w:highlight w:val="none"/>
        </w:rPr>
        <w:t>五、与投诉事项相关的投诉请求</w:t>
      </w:r>
      <w:bookmarkEnd w:id="254"/>
      <w:bookmarkEnd w:id="255"/>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请求：________________________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签字(签章)：_________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公章________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jc w:val="righ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日期：_____________________</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投诉书制作说明：</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1.投诉人提起投诉时，应当提交投诉书和必要的证明材料，并按照被投诉人和与投诉事项有关的供应商数量提供投诉书副本。</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3.投诉人若对项目的某一分包进行投诉，投诉书应列明具体分包号。</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4.投诉书应简要列明质疑事项，质疑函、质疑答复等作为附件材料提供。</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5.投诉书的投诉事项应具体、明确，并有必要的事实依据和法律依据。</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6.投诉书的投诉请求应与投诉事项相关。</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7.投诉人为自然人的，投诉书应当由本人签字；投诉人为法人或者其他组织的，投诉书应当由法定代表人、主要负责人，或者其授权代表签字或者盖章，并加盖公章。</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11"/>
        <w:textAlignment w:val="baseline"/>
        <w:rPr>
          <w:rFonts w:hint="eastAsia" w:ascii="宋体" w:hAnsi="宋体" w:eastAsia="宋体" w:cs="宋体"/>
          <w:color w:val="auto"/>
          <w:spacing w:val="1"/>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38" w:line="360" w:lineRule="auto"/>
        <w:textAlignment w:val="baseline"/>
        <w:rPr>
          <w:rFonts w:hint="eastAsia" w:ascii="宋体" w:hAnsi="宋体" w:eastAsia="宋体" w:cs="宋体"/>
          <w:color w:val="auto"/>
          <w:highlight w:val="none"/>
        </w:rPr>
      </w:pPr>
    </w:p>
    <w:sectPr>
      <w:footerReference r:id="rId5" w:type="default"/>
      <w:pgSz w:w="11906" w:h="16838"/>
      <w:pgMar w:top="1417" w:right="1134" w:bottom="1417" w:left="113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posOffset>2501265</wp:posOffset>
              </wp:positionH>
              <wp:positionV relativeFrom="paragraph">
                <wp:posOffset>0</wp:posOffset>
              </wp:positionV>
              <wp:extent cx="1000760" cy="1949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0760" cy="194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页共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sz w:val="21"/>
                              <w:szCs w:val="21"/>
                            </w:rPr>
                            <w:t>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6.95pt;margin-top:0pt;height:15.35pt;width:78.8pt;mso-position-horizontal-relative:margin;z-index:251659264;mso-width-relative:page;mso-height-relative:page;" filled="f" stroked="f" coordsize="21600,21600" o:gfxdata="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u2Do/1gAAAAcBAAAPAAAAAAAAAAEAIAAAACIAAABkcnMvZG93bnJl&#10;di54bWxQSwECFAAUAAAACACHTuJA4H9jhTgCAABiBAAADgAAAAAAAAABACAAAAAlAQAAZHJzL2Uy&#10;b0RvYy54bWxQSwUGAAAAAAYABgBZAQAAzwUAAAAA&#10;">
              <v:fill on="f" focussize="0,0"/>
              <v:stroke on="f" weight="0.5pt"/>
              <v:imagedata o:title=""/>
              <o:lock v:ext="edit" aspectratio="f"/>
              <v:textbox inset="0mm,0mm,0mm,0mm">
                <w:txbxContent>
                  <w:p>
                    <w:pPr>
                      <w:pStyle w:val="13"/>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页共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sz w:val="21"/>
                        <w:szCs w:val="21"/>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9F502"/>
    <w:multiLevelType w:val="singleLevel"/>
    <w:tmpl w:val="A019F502"/>
    <w:lvl w:ilvl="0" w:tentative="0">
      <w:start w:val="1"/>
      <w:numFmt w:val="decimal"/>
      <w:lvlText w:val="%1."/>
      <w:lvlJc w:val="left"/>
      <w:pPr>
        <w:tabs>
          <w:tab w:val="left" w:pos="312"/>
        </w:tabs>
      </w:pPr>
    </w:lvl>
  </w:abstractNum>
  <w:abstractNum w:abstractNumId="1">
    <w:nsid w:val="C91B0FAD"/>
    <w:multiLevelType w:val="singleLevel"/>
    <w:tmpl w:val="C91B0FAD"/>
    <w:lvl w:ilvl="0" w:tentative="0">
      <w:start w:val="1"/>
      <w:numFmt w:val="decimal"/>
      <w:lvlText w:val="%1."/>
      <w:lvlJc w:val="left"/>
      <w:pPr>
        <w:tabs>
          <w:tab w:val="left" w:pos="312"/>
        </w:tabs>
      </w:pPr>
    </w:lvl>
  </w:abstractNum>
  <w:abstractNum w:abstractNumId="2">
    <w:nsid w:val="CB73A0E8"/>
    <w:multiLevelType w:val="singleLevel"/>
    <w:tmpl w:val="CB73A0E8"/>
    <w:lvl w:ilvl="0" w:tentative="0">
      <w:start w:val="1"/>
      <w:numFmt w:val="decimal"/>
      <w:lvlText w:val="%1."/>
      <w:lvlJc w:val="left"/>
      <w:pPr>
        <w:tabs>
          <w:tab w:val="left" w:pos="312"/>
        </w:tabs>
      </w:pPr>
    </w:lvl>
  </w:abstractNum>
  <w:abstractNum w:abstractNumId="3">
    <w:nsid w:val="CDFE4CDC"/>
    <w:multiLevelType w:val="singleLevel"/>
    <w:tmpl w:val="CDFE4CDC"/>
    <w:lvl w:ilvl="0" w:tentative="0">
      <w:start w:val="1"/>
      <w:numFmt w:val="decimal"/>
      <w:lvlText w:val="%1."/>
      <w:lvlJc w:val="left"/>
      <w:pPr>
        <w:tabs>
          <w:tab w:val="left" w:pos="312"/>
        </w:tabs>
      </w:pPr>
    </w:lvl>
  </w:abstractNum>
  <w:abstractNum w:abstractNumId="4">
    <w:nsid w:val="D38E731B"/>
    <w:multiLevelType w:val="singleLevel"/>
    <w:tmpl w:val="D38E731B"/>
    <w:lvl w:ilvl="0" w:tentative="0">
      <w:start w:val="1"/>
      <w:numFmt w:val="decimal"/>
      <w:lvlText w:val="%1."/>
      <w:lvlJc w:val="left"/>
      <w:pPr>
        <w:tabs>
          <w:tab w:val="left" w:pos="312"/>
        </w:tabs>
      </w:pPr>
    </w:lvl>
  </w:abstractNum>
  <w:abstractNum w:abstractNumId="5">
    <w:nsid w:val="0E39B3E4"/>
    <w:multiLevelType w:val="singleLevel"/>
    <w:tmpl w:val="0E39B3E4"/>
    <w:lvl w:ilvl="0" w:tentative="0">
      <w:start w:val="1"/>
      <w:numFmt w:val="decimal"/>
      <w:lvlText w:val="%1."/>
      <w:lvlJc w:val="left"/>
      <w:pPr>
        <w:tabs>
          <w:tab w:val="left" w:pos="312"/>
        </w:tabs>
      </w:pPr>
    </w:lvl>
  </w:abstractNum>
  <w:abstractNum w:abstractNumId="6">
    <w:nsid w:val="20EF4398"/>
    <w:multiLevelType w:val="singleLevel"/>
    <w:tmpl w:val="20EF4398"/>
    <w:lvl w:ilvl="0" w:tentative="0">
      <w:start w:val="1"/>
      <w:numFmt w:val="decimal"/>
      <w:lvlText w:val="%1."/>
      <w:lvlJc w:val="left"/>
      <w:pPr>
        <w:tabs>
          <w:tab w:val="left" w:pos="312"/>
        </w:tabs>
      </w:pPr>
    </w:lvl>
  </w:abstractNum>
  <w:abstractNum w:abstractNumId="7">
    <w:nsid w:val="4163B9CB"/>
    <w:multiLevelType w:val="singleLevel"/>
    <w:tmpl w:val="4163B9CB"/>
    <w:lvl w:ilvl="0" w:tentative="0">
      <w:start w:val="1"/>
      <w:numFmt w:val="decimal"/>
      <w:lvlText w:val="%1."/>
      <w:lvlJc w:val="left"/>
      <w:pPr>
        <w:tabs>
          <w:tab w:val="left" w:pos="312"/>
        </w:tabs>
      </w:pPr>
    </w:lvl>
  </w:abstractNum>
  <w:num w:numId="1">
    <w:abstractNumId w:val="2"/>
  </w:num>
  <w:num w:numId="2">
    <w:abstractNumId w:val="1"/>
  </w:num>
  <w:num w:numId="3">
    <w:abstractNumId w:val="6"/>
  </w:num>
  <w:num w:numId="4">
    <w:abstractNumId w:val="0"/>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N2QxNzU5MDNlNjM2YzZmMGU1M2I2YTE0ZTI1YmUifQ=="/>
  </w:docVars>
  <w:rsids>
    <w:rsidRoot w:val="3A71613C"/>
    <w:rsid w:val="01343E1F"/>
    <w:rsid w:val="02EC7CCF"/>
    <w:rsid w:val="032A6C74"/>
    <w:rsid w:val="033C18BA"/>
    <w:rsid w:val="036B33B4"/>
    <w:rsid w:val="04FA7F35"/>
    <w:rsid w:val="059D56AF"/>
    <w:rsid w:val="06374448"/>
    <w:rsid w:val="074C6422"/>
    <w:rsid w:val="082F69DB"/>
    <w:rsid w:val="0850691C"/>
    <w:rsid w:val="0A5919B1"/>
    <w:rsid w:val="0B713F99"/>
    <w:rsid w:val="0DD93D19"/>
    <w:rsid w:val="0F052371"/>
    <w:rsid w:val="0F557595"/>
    <w:rsid w:val="10B16761"/>
    <w:rsid w:val="10E762AD"/>
    <w:rsid w:val="113A7451"/>
    <w:rsid w:val="118D66B0"/>
    <w:rsid w:val="139A1623"/>
    <w:rsid w:val="14C573DD"/>
    <w:rsid w:val="161E185C"/>
    <w:rsid w:val="167209FF"/>
    <w:rsid w:val="16CF43B2"/>
    <w:rsid w:val="17207271"/>
    <w:rsid w:val="175F1910"/>
    <w:rsid w:val="17912EAE"/>
    <w:rsid w:val="1BD830D5"/>
    <w:rsid w:val="1FEF30B1"/>
    <w:rsid w:val="214835C0"/>
    <w:rsid w:val="218121AD"/>
    <w:rsid w:val="27C65306"/>
    <w:rsid w:val="283F7E5D"/>
    <w:rsid w:val="2E054276"/>
    <w:rsid w:val="2F300D18"/>
    <w:rsid w:val="2F776163"/>
    <w:rsid w:val="302F704A"/>
    <w:rsid w:val="30F05B3B"/>
    <w:rsid w:val="324D725E"/>
    <w:rsid w:val="33392BE6"/>
    <w:rsid w:val="349D493F"/>
    <w:rsid w:val="37F75950"/>
    <w:rsid w:val="398B1008"/>
    <w:rsid w:val="39A44EE3"/>
    <w:rsid w:val="3A71613C"/>
    <w:rsid w:val="3AD6701C"/>
    <w:rsid w:val="3D5F301D"/>
    <w:rsid w:val="3E303A12"/>
    <w:rsid w:val="42DB1CAD"/>
    <w:rsid w:val="4368733E"/>
    <w:rsid w:val="44B508F5"/>
    <w:rsid w:val="458C2CD1"/>
    <w:rsid w:val="46B12F6E"/>
    <w:rsid w:val="473E147D"/>
    <w:rsid w:val="473F67D0"/>
    <w:rsid w:val="4841058B"/>
    <w:rsid w:val="49C10AC1"/>
    <w:rsid w:val="4A2B3F6D"/>
    <w:rsid w:val="4B6F223A"/>
    <w:rsid w:val="50A153E8"/>
    <w:rsid w:val="56A70287"/>
    <w:rsid w:val="58926B5A"/>
    <w:rsid w:val="59F3102C"/>
    <w:rsid w:val="5DC74F81"/>
    <w:rsid w:val="5E160A9F"/>
    <w:rsid w:val="5E403E82"/>
    <w:rsid w:val="5E882CC6"/>
    <w:rsid w:val="5FCF0AA6"/>
    <w:rsid w:val="618D6EDF"/>
    <w:rsid w:val="631B3F63"/>
    <w:rsid w:val="64310802"/>
    <w:rsid w:val="66EF5860"/>
    <w:rsid w:val="674800E8"/>
    <w:rsid w:val="6996333A"/>
    <w:rsid w:val="6B5F3E35"/>
    <w:rsid w:val="6BB53907"/>
    <w:rsid w:val="6D250689"/>
    <w:rsid w:val="6E102499"/>
    <w:rsid w:val="6EBF56F0"/>
    <w:rsid w:val="752D52B6"/>
    <w:rsid w:val="75CA04A7"/>
    <w:rsid w:val="76C56D40"/>
    <w:rsid w:val="79DC2749"/>
    <w:rsid w:val="79FA5080"/>
    <w:rsid w:val="7D725704"/>
    <w:rsid w:val="7E7765B6"/>
    <w:rsid w:val="7FD5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1"/>
    <w:pPr>
      <w:ind w:left="3216" w:right="3192"/>
      <w:jc w:val="center"/>
      <w:outlineLvl w:val="1"/>
    </w:pPr>
    <w:rPr>
      <w:rFonts w:ascii="宋体" w:hAnsi="宋体" w:eastAsia="宋体" w:cs="宋体"/>
      <w:b/>
      <w:bCs/>
      <w:sz w:val="38"/>
      <w:szCs w:val="38"/>
      <w:lang w:val="zh-CN" w:eastAsia="zh-CN" w:bidi="zh-CN"/>
    </w:rPr>
  </w:style>
  <w:style w:type="paragraph" w:styleId="4">
    <w:name w:val="heading 2"/>
    <w:basedOn w:val="1"/>
    <w:next w:val="1"/>
    <w:qFormat/>
    <w:uiPriority w:val="1"/>
    <w:pPr>
      <w:ind w:left="3222" w:right="3192"/>
      <w:jc w:val="center"/>
      <w:outlineLvl w:val="2"/>
    </w:pPr>
    <w:rPr>
      <w:rFonts w:ascii="宋体" w:hAnsi="宋体" w:eastAsia="宋体" w:cs="宋体"/>
      <w:b/>
      <w:bCs/>
      <w:sz w:val="24"/>
      <w:szCs w:val="24"/>
      <w:lang w:val="zh-CN" w:eastAsia="zh-CN" w:bidi="zh-CN"/>
    </w:rPr>
  </w:style>
  <w:style w:type="paragraph" w:styleId="5">
    <w:name w:val="heading 3"/>
    <w:basedOn w:val="1"/>
    <w:next w:val="1"/>
    <w:qFormat/>
    <w:uiPriority w:val="1"/>
    <w:pPr>
      <w:spacing w:before="48"/>
      <w:ind w:left="3222" w:right="3192"/>
      <w:jc w:val="center"/>
      <w:outlineLvl w:val="3"/>
    </w:pPr>
    <w:rPr>
      <w:rFonts w:ascii="宋体" w:hAnsi="宋体" w:eastAsia="宋体" w:cs="宋体"/>
      <w:b/>
      <w:bCs/>
      <w:sz w:val="21"/>
      <w:szCs w:val="21"/>
      <w:lang w:val="zh-CN" w:eastAsia="zh-CN" w:bidi="zh-CN"/>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Body Text First Indent"/>
    <w:basedOn w:val="7"/>
    <w:next w:val="9"/>
    <w:qFormat/>
    <w:uiPriority w:val="0"/>
    <w:pPr>
      <w:spacing w:after="120"/>
      <w:ind w:firstLine="420" w:firstLineChars="100"/>
    </w:pPr>
    <w:rPr>
      <w:lang w:val="en-US" w:eastAsia="zh-CN" w:bidi="ar-SA"/>
    </w:rPr>
  </w:style>
  <w:style w:type="paragraph" w:customStyle="1" w:styleId="9">
    <w:name w:val="样式 正文首行缩进 + 首行缩进:  1 字符"/>
    <w:basedOn w:val="1"/>
    <w:next w:val="1"/>
    <w:qFormat/>
    <w:uiPriority w:val="0"/>
    <w:pPr>
      <w:adjustRightInd w:val="0"/>
      <w:snapToGrid w:val="0"/>
      <w:spacing w:line="360" w:lineRule="auto"/>
      <w:ind w:firstLine="200" w:firstLineChars="200"/>
    </w:pPr>
    <w:rPr>
      <w:rFonts w:cs="宋体"/>
      <w:sz w:val="24"/>
      <w:szCs w:val="20"/>
    </w:rPr>
  </w:style>
  <w:style w:type="paragraph" w:styleId="10">
    <w:name w:val="Body Text Indent"/>
    <w:basedOn w:val="1"/>
    <w:next w:val="11"/>
    <w:qFormat/>
    <w:uiPriority w:val="0"/>
    <w:pPr>
      <w:spacing w:after="120"/>
      <w:ind w:left="420" w:leftChars="200"/>
    </w:pPr>
  </w:style>
  <w:style w:type="paragraph" w:styleId="11">
    <w:name w:val="Body Text First Indent 2"/>
    <w:basedOn w:val="10"/>
    <w:qFormat/>
    <w:uiPriority w:val="0"/>
    <w:pPr>
      <w:spacing w:line="360" w:lineRule="auto"/>
      <w:ind w:left="200" w:firstLine="200" w:firstLineChars="200"/>
    </w:pPr>
  </w:style>
  <w:style w:type="paragraph" w:styleId="12">
    <w:name w:val="toc 3"/>
    <w:basedOn w:val="1"/>
    <w:next w:val="1"/>
    <w:qFormat/>
    <w:uiPriority w:val="0"/>
    <w:pPr>
      <w:ind w:left="840" w:leftChars="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index heading"/>
    <w:basedOn w:val="1"/>
    <w:next w:val="17"/>
    <w:qFormat/>
    <w:uiPriority w:val="0"/>
  </w:style>
  <w:style w:type="paragraph" w:styleId="17">
    <w:name w:val="index 1"/>
    <w:basedOn w:val="1"/>
    <w:next w:val="1"/>
    <w:qFormat/>
    <w:uiPriority w:val="0"/>
    <w:pPr>
      <w:jc w:val="center"/>
    </w:pPr>
    <w:rPr>
      <w:kern w:val="0"/>
      <w:sz w:val="18"/>
      <w:szCs w:val="18"/>
    </w:rPr>
  </w:style>
  <w:style w:type="paragraph" w:styleId="18">
    <w:name w:val="toc 2"/>
    <w:basedOn w:val="1"/>
    <w:next w:val="1"/>
    <w:qFormat/>
    <w:uiPriority w:val="0"/>
    <w:pPr>
      <w:ind w:left="420" w:left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表格文字"/>
    <w:basedOn w:val="23"/>
    <w:qFormat/>
    <w:uiPriority w:val="0"/>
    <w:pPr>
      <w:tabs>
        <w:tab w:val="left" w:pos="360"/>
        <w:tab w:val="left" w:pos="720"/>
      </w:tabs>
      <w:spacing w:before="25" w:after="25" w:line="300" w:lineRule="auto"/>
    </w:pPr>
    <w:rPr>
      <w:rFonts w:ascii="宋体" w:hAnsi="宋体"/>
      <w:spacing w:val="10"/>
      <w:kern w:val="0"/>
      <w:sz w:val="24"/>
      <w:szCs w:val="20"/>
    </w:rPr>
  </w:style>
  <w:style w:type="paragraph" w:customStyle="1" w:styleId="23">
    <w:name w:val="项目符号"/>
    <w:basedOn w:val="1"/>
    <w:qFormat/>
    <w:uiPriority w:val="0"/>
    <w:pPr>
      <w:tabs>
        <w:tab w:val="left" w:pos="360"/>
        <w:tab w:val="left" w:pos="720"/>
      </w:tabs>
      <w:spacing w:line="360" w:lineRule="auto"/>
      <w:ind w:left="200" w:hanging="200" w:hangingChars="200"/>
    </w:pPr>
    <w:rPr>
      <w:rFonts w:ascii="宋体" w:hAnsi="ˎ̥" w:cs="宋体"/>
      <w:color w:val="000000"/>
      <w:sz w:val="24"/>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样式 楷体_GB2312 小四"/>
    <w:qFormat/>
    <w:uiPriority w:val="0"/>
    <w:rPr>
      <w:rFonts w:ascii="楷体_GB2312" w:hAnsi="楷体_GB2312" w:eastAsia="仿宋_GB2312"/>
      <w:sz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正文无缩进"/>
    <w:basedOn w:val="28"/>
    <w:qFormat/>
    <w:uiPriority w:val="0"/>
    <w:pPr>
      <w:ind w:firstLine="0" w:firstLineChars="0"/>
    </w:pPr>
  </w:style>
  <w:style w:type="paragraph" w:customStyle="1" w:styleId="28">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paragraph" w:customStyle="1" w:styleId="29">
    <w:name w:val="WPSOffice手动目录 2"/>
    <w:qFormat/>
    <w:uiPriority w:val="0"/>
    <w:pPr>
      <w:ind w:leftChars="200"/>
    </w:pPr>
    <w:rPr>
      <w:rFonts w:asciiTheme="minorHAnsi" w:hAnsiTheme="minorHAnsi" w:eastAsiaTheme="minorEastAsia" w:cstheme="minorBidi"/>
      <w:sz w:val="20"/>
      <w:szCs w:val="20"/>
    </w:rPr>
  </w:style>
  <w:style w:type="paragraph" w:customStyle="1" w:styleId="30">
    <w:name w:val="WPSOffice手动目录 3"/>
    <w:qFormat/>
    <w:uiPriority w:val="0"/>
    <w:pPr>
      <w:ind w:leftChars="400"/>
    </w:pPr>
    <w:rPr>
      <w:rFonts w:asciiTheme="minorHAnsi" w:hAnsiTheme="minorHAnsi" w:eastAsiaTheme="minorEastAsia" w:cstheme="minorBidi"/>
      <w:sz w:val="20"/>
      <w:szCs w:val="20"/>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32174</Words>
  <Characters>35773</Characters>
  <Lines>0</Lines>
  <Paragraphs>0</Paragraphs>
  <TotalTime>28</TotalTime>
  <ScaleCrop>false</ScaleCrop>
  <LinksUpToDate>false</LinksUpToDate>
  <CharactersWithSpaces>36798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2022-03-04T07:21:00Z</dcterms:created>
  <dc:creator>隐姓埋名</dc:creator>
  <cp:lastModifiedBy>官燕 </cp:lastModifiedBy>
  <dcterms:modified xsi:type="dcterms:W3CDTF">2022-12-05T01:42:35Z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3F185366DC1D43EF866B3575E98BD863</vt:lpwstr>
  </property>
</Properties>
</file>